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545" w:rsidRDefault="002E7545">
      <w:pPr>
        <w:pStyle w:val="2"/>
      </w:pPr>
      <w:r>
        <w:pict>
          <v:shapetype id="_x0000_t202" coordsize="21600,21600" o:spt="202" path="m,l,21600r21600,l21600,xe">
            <v:stroke joinstyle="miter"/>
            <v:path gradientshapeok="t" o:connecttype="rect"/>
          </v:shapetype>
          <v:shape id="_x0000_s1026" type="#_x0000_t202" style="position:absolute;left:0;text-align:left;margin-left:114.45pt;margin-top:536.35pt;width:404.15pt;height:168pt;rotation:180;flip:y;z-index:251666944" o:gfxdata="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A956HdsAAAAOAQAADwAA&#10;AAAAAAABACAAAAAiAAAAZHJzL2Rvd25yZXYueG1sUEsBAhQAFAAAAAgAh07iQK7/735MAgAAjwQA&#10;AA4AAAAAAAAAAQAgAAAAKgEAAGRycy9lMm9Eb2MueG1sUEsFBgAAAAAGAAYAWQEAAOgFAAAAAA==&#10;" stroked="f">
            <v:textbox inset="0,0,0,0">
              <w:txbxContent>
                <w:p w:rsidR="002E7545" w:rsidRDefault="00A918A2">
                  <w:pPr>
                    <w:pStyle w:val="a3"/>
                    <w:rPr>
                      <w:sz w:val="36"/>
                      <w:szCs w:val="36"/>
                    </w:rPr>
                  </w:pPr>
                  <w:r>
                    <w:rPr>
                      <w:sz w:val="36"/>
                      <w:szCs w:val="36"/>
                    </w:rPr>
                    <w:t>预算</w:t>
                  </w:r>
                  <w:r>
                    <w:rPr>
                      <w:rFonts w:hint="eastAsia"/>
                      <w:sz w:val="36"/>
                      <w:szCs w:val="36"/>
                    </w:rPr>
                    <w:t>代码：</w:t>
                  </w:r>
                  <w:r>
                    <w:rPr>
                      <w:rFonts w:hint="eastAsia"/>
                      <w:sz w:val="36"/>
                      <w:szCs w:val="36"/>
                    </w:rPr>
                    <w:t>3</w:t>
                  </w:r>
                  <w:r>
                    <w:rPr>
                      <w:sz w:val="36"/>
                      <w:szCs w:val="36"/>
                    </w:rPr>
                    <w:t>60004</w:t>
                  </w:r>
                </w:p>
                <w:p w:rsidR="002E7545" w:rsidRDefault="002E7545"/>
                <w:p w:rsidR="002E7545" w:rsidRDefault="00A918A2">
                  <w:pPr>
                    <w:rPr>
                      <w:rFonts w:asciiTheme="majorHAnsi" w:eastAsia="黑体" w:hAnsiTheme="majorHAnsi" w:cstheme="majorBidi"/>
                      <w:sz w:val="36"/>
                      <w:szCs w:val="36"/>
                    </w:rPr>
                  </w:pPr>
                  <w:r>
                    <w:rPr>
                      <w:rFonts w:asciiTheme="majorHAnsi" w:eastAsia="黑体" w:hAnsiTheme="majorHAnsi" w:cstheme="majorBidi" w:hint="eastAsia"/>
                      <w:sz w:val="36"/>
                      <w:szCs w:val="36"/>
                    </w:rPr>
                    <w:t>预算单位：石家庄市藁城区通安幼儿园</w:t>
                  </w:r>
                </w:p>
                <w:p w:rsidR="002E7545" w:rsidRDefault="002E7545"/>
                <w:p w:rsidR="002E7545" w:rsidRDefault="002E7545"/>
                <w:p w:rsidR="002E7545" w:rsidRDefault="002E7545"/>
                <w:p w:rsidR="002E7545" w:rsidRDefault="00A918A2">
                  <w:pPr>
                    <w:ind w:firstLineChars="800" w:firstLine="2880"/>
                    <w:rPr>
                      <w:sz w:val="36"/>
                      <w:szCs w:val="36"/>
                    </w:rPr>
                  </w:pPr>
                  <w:r>
                    <w:rPr>
                      <w:rFonts w:hint="eastAsia"/>
                      <w:sz w:val="36"/>
                      <w:szCs w:val="36"/>
                    </w:rPr>
                    <w:t>二</w:t>
                  </w:r>
                  <w:r>
                    <w:rPr>
                      <w:rFonts w:hint="eastAsia"/>
                      <w:sz w:val="36"/>
                      <w:szCs w:val="36"/>
                    </w:rPr>
                    <w:t>0</w:t>
                  </w:r>
                  <w:r>
                    <w:rPr>
                      <w:sz w:val="36"/>
                      <w:szCs w:val="36"/>
                    </w:rPr>
                    <w:t>二二</w:t>
                  </w:r>
                  <w:r>
                    <w:rPr>
                      <w:rFonts w:hint="eastAsia"/>
                      <w:sz w:val="36"/>
                      <w:szCs w:val="36"/>
                    </w:rPr>
                    <w:t>年十</w:t>
                  </w:r>
                  <w:r>
                    <w:rPr>
                      <w:sz w:val="36"/>
                      <w:szCs w:val="36"/>
                    </w:rPr>
                    <w:t>月</w:t>
                  </w:r>
                </w:p>
              </w:txbxContent>
            </v:textbox>
            <w10:wrap type="square"/>
          </v:shape>
        </w:pict>
      </w:r>
      <w:r>
        <w:pict>
          <v:group id="_x0000_s1034" style="position:absolute;left:0;text-align:left;margin-left:22.55pt;margin-top:197.65pt;width:613.65pt;height:274.95pt;z-index:251664896" coordorigin="5240,6098" coordsize="12273,5499203" o:gfxdata="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CyXZvcAAAACw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v:rect id="_x0000_s1036" style="position:absolute;left:15245;top:6099;width:2268;height:5499;v-text-anchor:middle"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fillcolor="#2e75b6" stroked="f" strokeweight="1pt">
              <v:textbox>
                <w:txbxContent>
                  <w:p w:rsidR="002E7545" w:rsidRDefault="002E7545">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ttps://photo-static-api.fotomore.com/creative/vcg/400/new/VCG211245312518.jpg" o:spid="_x0000_s1035" type="#_x0000_t75" alt="&amp;pky00123992966_sjzg_VCG211245312518&amp;2&amp;src_toppic_drop1&amp;" style="position:absolute;left:5240;top:6098;width:10027;height:5499"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imagedata r:id="rId9" o:title=""/>
            </v:shape>
          </v:group>
        </w:pict>
      </w:r>
      <w:r>
        <w:pict>
          <v:shape id="文本框 2" o:spid="_x0000_s1033" type="#_x0000_t202" style="position:absolute;left:0;text-align:left;margin-left:23.25pt;margin-top:504.65pt;width:431.7pt;height:94.1pt;z-index:251660800" o:gfxdata="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JNLC&#10;a9cAAAAMAQAADwAAAAAAAAABACAAAAAiAAAAZHJzL2Rvd25yZXYueG1sUEsBAhQAFAAAAAgAh07i&#10;QPEEpPsjAgAAKgQAAA4AAAAAAAAAAQAgAAAAJgEAAGRycy9lMm9Eb2MueG1sUEsFBgAAAAAGAAYA&#10;WQEAALsFAAAAAA==&#10;" filled="f" stroked="f">
            <v:textbox>
              <w:txbxContent>
                <w:p w:rsidR="002E7545" w:rsidRDefault="00A918A2">
                  <w:pPr>
                    <w:spacing w:line="600" w:lineRule="auto"/>
                    <w:jc w:val="left"/>
                    <w:rPr>
                      <w:rFonts w:ascii="楷体_GB2312" w:eastAsia="楷体_GB2312" w:hAnsi="楷体_GB2312" w:cs="楷体_GB2312"/>
                      <w:color w:val="000000"/>
                      <w:sz w:val="40"/>
                      <w:szCs w:val="40"/>
                    </w:rPr>
                  </w:pPr>
                  <w:r>
                    <w:rPr>
                      <w:rFonts w:ascii="黑体" w:eastAsia="黑体" w:hAnsi="黑体" w:cs="黑体" w:hint="eastAsia"/>
                      <w:color w:val="000000"/>
                      <w:sz w:val="40"/>
                      <w:szCs w:val="40"/>
                    </w:rPr>
                    <w:t>预算代码</w:t>
                  </w:r>
                  <w:r>
                    <w:rPr>
                      <w:rFonts w:ascii="楷体_GB2312" w:eastAsia="楷体_GB2312" w:hAnsi="楷体_GB2312" w:cs="楷体_GB2312" w:hint="eastAsia"/>
                      <w:color w:val="000000"/>
                      <w:sz w:val="40"/>
                      <w:szCs w:val="40"/>
                    </w:rPr>
                    <w:t>：</w:t>
                  </w:r>
                  <w:r>
                    <w:rPr>
                      <w:rFonts w:ascii="楷体_GB2312" w:eastAsia="楷体_GB2312" w:hAnsi="楷体_GB2312" w:cs="楷体_GB2312" w:hint="eastAsia"/>
                      <w:color w:val="000000"/>
                      <w:sz w:val="40"/>
                      <w:szCs w:val="40"/>
                    </w:rPr>
                    <w:t>360004</w:t>
                  </w:r>
                </w:p>
                <w:p w:rsidR="002E7545" w:rsidRDefault="00A918A2">
                  <w:pPr>
                    <w:spacing w:line="600" w:lineRule="auto"/>
                    <w:jc w:val="left"/>
                    <w:rPr>
                      <w:rFonts w:ascii="楷体_GB2312" w:eastAsia="楷体_GB2312" w:hAnsi="楷体_GB2312" w:cs="楷体_GB2312"/>
                      <w:color w:val="000000"/>
                      <w:sz w:val="40"/>
                      <w:szCs w:val="40"/>
                    </w:rPr>
                  </w:pPr>
                  <w:r>
                    <w:rPr>
                      <w:rFonts w:ascii="黑体" w:eastAsia="黑体" w:hAnsi="黑体" w:cs="黑体" w:hint="eastAsia"/>
                      <w:color w:val="000000"/>
                      <w:sz w:val="40"/>
                      <w:szCs w:val="40"/>
                    </w:rPr>
                    <w:t>单位名称</w:t>
                  </w:r>
                  <w:r>
                    <w:rPr>
                      <w:rFonts w:ascii="楷体_GB2312" w:eastAsia="楷体_GB2312" w:hAnsi="楷体_GB2312" w:cs="楷体_GB2312" w:hint="eastAsia"/>
                      <w:color w:val="000000"/>
                      <w:sz w:val="40"/>
                      <w:szCs w:val="40"/>
                    </w:rPr>
                    <w:t>：石家庄市藁城区通安幼儿园</w:t>
                  </w:r>
                </w:p>
              </w:txbxContent>
            </v:textbox>
          </v:shape>
        </w:pict>
      </w:r>
      <w:r w:rsidR="00A918A2">
        <w:rPr>
          <w:rFonts w:hint="eastAsia"/>
          <w:noProof/>
        </w:rPr>
        <w:drawing>
          <wp:anchor distT="0" distB="0" distL="114300" distR="114300" simplePos="0" relativeHeight="251648512"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10" cstate="print">
                      <a:extLst>
                        <a:ext uri="{96DAC541-7B7A-43D3-8B79-37D633B846F1}">
                          <asvg:svgBlip xmlns:asvg="http://schemas.microsoft.com/office/drawing/2016/SVG/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r:embed="rId15"/>
                        </a:ext>
                      </a:extLst>
                    </a:blip>
                    <a:stretch>
                      <a:fillRect/>
                    </a:stretch>
                  </pic:blipFill>
                  <pic:spPr>
                    <a:xfrm>
                      <a:off x="0" y="0"/>
                      <a:ext cx="610235" cy="610235"/>
                    </a:xfrm>
                    <a:prstGeom prst="rect">
                      <a:avLst/>
                    </a:prstGeom>
                  </pic:spPr>
                </pic:pic>
              </a:graphicData>
            </a:graphic>
          </wp:anchor>
        </w:drawing>
      </w:r>
      <w:r>
        <w:pict>
          <v:shape id="_x0000_s1032" type="#_x0000_t202" style="position:absolute;left:0;text-align:left;margin-left:88.2pt;margin-top:625.4pt;width:256.7pt;height:41pt;z-index:251661824;mso-position-horizontal-relative:text;mso-position-vertical-relative:text"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filled="f" stroked="f">
            <v:textbox>
              <w:txbxContent>
                <w:p w:rsidR="002E7545" w:rsidRDefault="00A918A2">
                  <w:pPr>
                    <w:spacing w:line="600" w:lineRule="auto"/>
                    <w:jc w:val="center"/>
                    <w:rPr>
                      <w:rFonts w:ascii="楷体_GB2312" w:eastAsia="楷体_GB2312" w:hAnsi="楷体_GB2312" w:cs="楷体_GB2312"/>
                      <w:color w:val="000000"/>
                      <w:sz w:val="40"/>
                      <w:szCs w:val="40"/>
                    </w:rPr>
                  </w:pPr>
                  <w:r>
                    <w:rPr>
                      <w:rFonts w:ascii="楷体_GB2312" w:eastAsia="楷体_GB2312" w:hAnsi="楷体_GB2312" w:cs="楷体_GB2312" w:hint="eastAsia"/>
                      <w:color w:val="000000"/>
                      <w:sz w:val="40"/>
                      <w:szCs w:val="40"/>
                    </w:rPr>
                    <w:t>二〇二二年</w:t>
                  </w:r>
                  <w:r>
                    <w:rPr>
                      <w:rFonts w:ascii="楷体_GB2312" w:eastAsia="楷体_GB2312" w:hAnsi="楷体_GB2312" w:cs="楷体_GB2312" w:hint="eastAsia"/>
                      <w:color w:val="000000"/>
                      <w:sz w:val="40"/>
                      <w:szCs w:val="40"/>
                    </w:rPr>
                    <w:t>X</w:t>
                  </w:r>
                  <w:r>
                    <w:rPr>
                      <w:rFonts w:ascii="楷体_GB2312" w:eastAsia="楷体_GB2312" w:hAnsi="楷体_GB2312" w:cs="楷体_GB2312" w:hint="eastAsia"/>
                      <w:color w:val="000000"/>
                      <w:sz w:val="40"/>
                      <w:szCs w:val="40"/>
                    </w:rPr>
                    <w:t>月</w:t>
                  </w:r>
                </w:p>
              </w:txbxContent>
            </v:textbox>
          </v:shape>
        </w:pict>
      </w:r>
      <w:r>
        <w:pict>
          <v:shape id="文本框 33" o:spid="_x0000_s1031" type="#_x0000_t202" style="position:absolute;left:0;text-align:left;margin-left:-19.95pt;margin-top:126.9pt;width:432.6pt;height:44.9pt;z-index:251663872;mso-position-horizontal-relative:text;mso-position-vertical-relative:text"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filled="f" stroked="f">
            <v:textbox>
              <w:txbxContent>
                <w:p w:rsidR="002E7545" w:rsidRDefault="002E7545">
                  <w:pPr>
                    <w:jc w:val="distribute"/>
                    <w:rPr>
                      <w:rFonts w:ascii="思源黑体 CN Heavy" w:eastAsia="思源黑体 CN Heavy" w:hAnsi="思源黑体 CN Heavy"/>
                      <w:color w:val="63B86C" w:themeColor="background1" w:themeShade="A6"/>
                      <w:kern w:val="0"/>
                      <w:sz w:val="40"/>
                      <w:szCs w:val="40"/>
                    </w:rPr>
                  </w:pPr>
                </w:p>
              </w:txbxContent>
            </v:textbox>
          </v:shape>
        </w:pict>
      </w:r>
      <w:r>
        <w:pict>
          <v:group id="_x0000_s1028" style="position:absolute;left:0;text-align:left;margin-left:-22.1pt;margin-top:55.15pt;width:451.7pt;height:68.65pt;z-index:251665920;mso-position-horizontal-relative:text;mso-position-vertical-relative:text" coordorigin="6119,3077" coordsize="9034,137320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v:shape id="_x0000_s1030" type="#_x0000_t202" style="position:absolute;left:6119;top:3077;width:9034;height:1187"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filled="f" stroked="f">
              <v:textbox>
                <w:txbxContent>
                  <w:p w:rsidR="002E7545" w:rsidRDefault="00A918A2">
                    <w:pPr>
                      <w:jc w:val="left"/>
                      <w:rPr>
                        <w:rFonts w:ascii="思源黑体 CN Bold" w:eastAsia="思源黑体 CN Bold" w:hAnsi="思源黑体 CN Bold"/>
                        <w:b/>
                        <w:bCs/>
                        <w:color w:val="002060"/>
                        <w:kern w:val="0"/>
                        <w:sz w:val="24"/>
                        <w:szCs w:val="24"/>
                      </w:rPr>
                    </w:pPr>
                    <w:r>
                      <w:rPr>
                        <w:rFonts w:ascii="思源黑体 CN Bold" w:eastAsia="思源黑体 CN Bold" w:hAnsi="思源黑体 CN Bold" w:hint="eastAsia"/>
                        <w:b/>
                        <w:bCs/>
                        <w:color w:val="002060"/>
                        <w:spacing w:val="60"/>
                        <w:kern w:val="24"/>
                        <w:sz w:val="96"/>
                        <w:szCs w:val="96"/>
                      </w:rPr>
                      <w:t>部门决算公开文本</w:t>
                    </w:r>
                  </w:p>
                </w:txbxContent>
              </v:textbox>
            </v:shape>
            <v:line id="_x0000_s1029" style="position:absolute" from="6226,4450" to="14926,445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strokecolor="#41719c" strokeweight="2.25pt">
              <v:stroke dashstyle="1 1" joinstyle="miter"/>
            </v:line>
          </v:group>
        </w:pict>
      </w:r>
      <w:r>
        <w:pict>
          <v:shape id="文本框 32" o:spid="_x0000_s1027" type="#_x0000_t202" style="position:absolute;left:0;text-align:left;margin-left:39.25pt;margin-top:-19.3pt;width:223.1pt;height:62.05pt;z-index:251662848;mso-position-horizontal-relative:text;mso-position-vertical-relative:text"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filled="f" stroked="f">
            <v:textbox>
              <w:txbxContent>
                <w:p w:rsidR="002E7545" w:rsidRDefault="00A918A2">
                  <w:pPr>
                    <w:jc w:val="distribute"/>
                    <w:rPr>
                      <w:rFonts w:ascii="方正魏碑简体" w:eastAsia="方正魏碑简体" w:hAnsi="Arial" w:cs="Arial"/>
                      <w:b/>
                      <w:bCs/>
                      <w:color w:val="002060"/>
                      <w:kern w:val="0"/>
                      <w:sz w:val="22"/>
                    </w:rPr>
                  </w:pPr>
                  <w:r>
                    <w:rPr>
                      <w:rFonts w:ascii="方正魏碑简体" w:eastAsia="方正魏碑简体" w:hAnsi="Arial" w:cs="Arial" w:hint="eastAsia"/>
                      <w:b/>
                      <w:bCs/>
                      <w:color w:val="002060"/>
                      <w:spacing w:val="60"/>
                      <w:kern w:val="24"/>
                      <w:sz w:val="72"/>
                      <w:szCs w:val="72"/>
                    </w:rPr>
                    <w:t>2021</w:t>
                  </w:r>
                  <w:r>
                    <w:rPr>
                      <w:rFonts w:ascii="方正魏碑简体" w:eastAsia="方正魏碑简体" w:hAnsi="Arial" w:cs="Arial" w:hint="eastAsia"/>
                      <w:b/>
                      <w:bCs/>
                      <w:color w:val="002060"/>
                      <w:spacing w:val="60"/>
                      <w:kern w:val="24"/>
                      <w:sz w:val="72"/>
                      <w:szCs w:val="72"/>
                    </w:rPr>
                    <w:t>年度</w:t>
                  </w:r>
                </w:p>
              </w:txbxContent>
            </v:textbox>
          </v:shape>
        </w:pict>
      </w:r>
      <w:r w:rsidR="00A918A2">
        <w:rPr>
          <w:noProof/>
        </w:rPr>
        <w:drawing>
          <wp:anchor distT="0" distB="0" distL="114300" distR="114300" simplePos="0" relativeHeight="251649536"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6"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11083290" cy="7844790"/>
                    </a:xfrm>
                    <a:prstGeom prst="rect">
                      <a:avLst/>
                    </a:prstGeom>
                  </pic:spPr>
                </pic:pic>
              </a:graphicData>
            </a:graphic>
          </wp:anchor>
        </w:drawing>
      </w:r>
      <w:r w:rsidR="00A918A2">
        <w:br w:type="page"/>
      </w:r>
    </w:p>
    <w:p w:rsidR="002E7545" w:rsidRDefault="002E7545">
      <w:pPr>
        <w:jc w:val="center"/>
        <w:rPr>
          <w:rFonts w:ascii="黑体" w:eastAsia="黑体" w:hAnsi="黑体" w:cs="黑体"/>
          <w:sz w:val="56"/>
          <w:szCs w:val="72"/>
        </w:rPr>
        <w:sectPr w:rsidR="002E7545">
          <w:headerReference w:type="default" r:id="rId17"/>
          <w:footerReference w:type="default" r:id="rId18"/>
          <w:headerReference w:type="first" r:id="rId19"/>
          <w:footerReference w:type="first" r:id="rId20"/>
          <w:pgSz w:w="11906" w:h="16838"/>
          <w:pgMar w:top="2041" w:right="1531" w:bottom="2041" w:left="1531" w:header="851" w:footer="992" w:gutter="0"/>
          <w:cols w:space="0"/>
          <w:titlePg/>
          <w:docGrid w:type="lines" w:linePitch="312"/>
        </w:sectPr>
      </w:pPr>
    </w:p>
    <w:p w:rsidR="002E7545" w:rsidRDefault="00A918A2">
      <w:pPr>
        <w:tabs>
          <w:tab w:val="left" w:pos="2728"/>
        </w:tabs>
        <w:jc w:val="center"/>
        <w:rPr>
          <w:rFonts w:ascii="黑体" w:eastAsia="黑体" w:hAnsi="Times New Roman" w:cs="Times New Roman"/>
          <w:sz w:val="48"/>
          <w:szCs w:val="48"/>
        </w:rPr>
      </w:pPr>
      <w:r>
        <w:rPr>
          <w:rFonts w:ascii="黑体" w:eastAsia="黑体" w:hAnsi="Times New Roman" w:cs="Times New Roman" w:hint="eastAsia"/>
          <w:noProof/>
          <w:sz w:val="48"/>
          <w:szCs w:val="48"/>
        </w:rPr>
        <w:lastRenderedPageBreak/>
        <w:drawing>
          <wp:anchor distT="0" distB="0" distL="114300" distR="114300" simplePos="0" relativeHeight="251655680"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21" cstate="print">
                      <a:extLst>
                        <a:ext uri="{96DAC541-7B7A-43D3-8B79-37D633B846F1}">
                          <asvg:svgBlip xmlns:asvg="http://schemas.microsoft.com/office/drawing/2016/SVG/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r:embed="rId22"/>
                        </a:ext>
                      </a:extLst>
                    </a:blip>
                    <a:stretch>
                      <a:fillRect/>
                    </a:stretch>
                  </pic:blipFill>
                  <pic:spPr>
                    <a:xfrm>
                      <a:off x="0" y="0"/>
                      <a:ext cx="639445" cy="639445"/>
                    </a:xfrm>
                    <a:prstGeom prst="rect">
                      <a:avLst/>
                    </a:prstGeom>
                  </pic:spPr>
                </pic:pic>
              </a:graphicData>
            </a:graphic>
          </wp:anchor>
        </w:drawing>
      </w:r>
    </w:p>
    <w:p w:rsidR="002E7545" w:rsidRDefault="00A918A2">
      <w:pPr>
        <w:tabs>
          <w:tab w:val="left" w:pos="2728"/>
        </w:tabs>
        <w:jc w:val="center"/>
        <w:rPr>
          <w:rFonts w:ascii="黑体" w:eastAsia="黑体" w:hAnsi="Times New Roman" w:cs="Times New Roman"/>
          <w:sz w:val="44"/>
          <w:szCs w:val="44"/>
        </w:rPr>
      </w:pPr>
      <w:r>
        <w:rPr>
          <w:rFonts w:ascii="黑体" w:eastAsia="黑体" w:hAnsi="Times New Roman" w:cs="Times New Roman" w:hint="eastAsia"/>
          <w:sz w:val="44"/>
          <w:szCs w:val="44"/>
        </w:rPr>
        <w:t>目</w:t>
      </w:r>
      <w:r>
        <w:rPr>
          <w:rFonts w:ascii="黑体" w:eastAsia="黑体" w:hAnsi="Times New Roman" w:cs="Times New Roman" w:hint="eastAsia"/>
          <w:sz w:val="44"/>
          <w:szCs w:val="44"/>
        </w:rPr>
        <w:t xml:space="preserve">    </w:t>
      </w:r>
      <w:r>
        <w:rPr>
          <w:rFonts w:ascii="黑体" w:eastAsia="黑体" w:hAnsi="Times New Roman" w:cs="Times New Roman" w:hint="eastAsia"/>
          <w:sz w:val="44"/>
          <w:szCs w:val="44"/>
        </w:rPr>
        <w:t>录</w:t>
      </w:r>
    </w:p>
    <w:p w:rsidR="002E7545" w:rsidRDefault="002E7545">
      <w:pPr>
        <w:widowControl/>
        <w:spacing w:after="160" w:line="580" w:lineRule="exact"/>
        <w:ind w:firstLineChars="200" w:firstLine="640"/>
        <w:rPr>
          <w:rFonts w:ascii="Times New Roman" w:eastAsia="黑体" w:hAnsi="Times New Roman" w:cs="Times New Roman"/>
          <w:sz w:val="32"/>
          <w:szCs w:val="32"/>
        </w:rPr>
      </w:pPr>
    </w:p>
    <w:p w:rsidR="002E7545" w:rsidRDefault="00A918A2">
      <w:pPr>
        <w:widowControl/>
        <w:spacing w:after="160" w:line="580" w:lineRule="exact"/>
        <w:ind w:firstLineChars="200" w:firstLine="640"/>
        <w:rPr>
          <w:rFonts w:ascii="Times New Roman" w:eastAsia="仿宋_GB2312" w:hAnsi="Times New Roman" w:cs="Times New Roman"/>
          <w:sz w:val="24"/>
          <w:szCs w:val="32"/>
        </w:rPr>
      </w:pPr>
      <w:r>
        <w:rPr>
          <w:rFonts w:ascii="Times New Roman" w:eastAsia="黑体" w:hAnsi="Times New Roman" w:cs="Times New Roman"/>
          <w:sz w:val="32"/>
          <w:szCs w:val="32"/>
        </w:rPr>
        <w:t>第一部分</w:t>
      </w:r>
      <w:r>
        <w:rPr>
          <w:rFonts w:ascii="Times New Roman" w:eastAsia="黑体" w:hAnsi="Times New Roman" w:cs="Times New Roman"/>
          <w:sz w:val="32"/>
          <w:szCs w:val="32"/>
        </w:rPr>
        <w:t xml:space="preserve">   </w:t>
      </w:r>
      <w:r w:rsidR="00CF1C8D">
        <w:rPr>
          <w:rFonts w:ascii="Times New Roman" w:eastAsia="黑体" w:hAnsi="Times New Roman" w:cs="Times New Roman" w:hint="eastAsia"/>
          <w:sz w:val="32"/>
          <w:szCs w:val="32"/>
        </w:rPr>
        <w:t>单位</w:t>
      </w:r>
      <w:r>
        <w:rPr>
          <w:rFonts w:ascii="Times New Roman" w:eastAsia="黑体" w:hAnsi="Times New Roman" w:cs="Times New Roman"/>
          <w:sz w:val="32"/>
          <w:szCs w:val="32"/>
        </w:rPr>
        <w:t>概况</w:t>
      </w:r>
    </w:p>
    <w:p w:rsidR="002E7545" w:rsidRDefault="00A918A2" w:rsidP="00CF1C8D">
      <w:pPr>
        <w:widowControl/>
        <w:spacing w:after="160" w:line="580" w:lineRule="exact"/>
        <w:ind w:firstLineChars="398" w:firstLine="1274"/>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sidR="00CF1C8D">
        <w:rPr>
          <w:rFonts w:ascii="Times New Roman" w:eastAsia="仿宋_GB2312" w:hAnsi="Times New Roman" w:cs="Times New Roman" w:hint="eastAsia"/>
          <w:sz w:val="32"/>
          <w:szCs w:val="32"/>
        </w:rPr>
        <w:t>单位</w:t>
      </w:r>
      <w:r>
        <w:rPr>
          <w:rFonts w:ascii="Times New Roman" w:eastAsia="仿宋_GB2312" w:hAnsi="Times New Roman" w:cs="Times New Roman" w:hint="eastAsia"/>
          <w:sz w:val="32"/>
          <w:szCs w:val="32"/>
        </w:rPr>
        <w:t>职责</w:t>
      </w:r>
    </w:p>
    <w:p w:rsidR="002E7545" w:rsidRDefault="00A918A2" w:rsidP="00CF1C8D">
      <w:pPr>
        <w:widowControl/>
        <w:spacing w:after="160" w:line="580" w:lineRule="exact"/>
        <w:ind w:firstLineChars="398" w:firstLine="1274"/>
        <w:rPr>
          <w:rFonts w:ascii="Times New Roman" w:eastAsia="仿宋_GB2312"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hint="eastAsia"/>
          <w:sz w:val="32"/>
          <w:szCs w:val="32"/>
        </w:rPr>
        <w:t>机构设置</w:t>
      </w:r>
    </w:p>
    <w:p w:rsidR="002E7545" w:rsidRDefault="00A918A2">
      <w:pPr>
        <w:widowControl/>
        <w:spacing w:after="160" w:line="580" w:lineRule="exact"/>
        <w:ind w:firstLineChars="200" w:firstLine="640"/>
        <w:rPr>
          <w:rFonts w:ascii="Times New Roman" w:eastAsia="仿宋_GB2312" w:hAnsi="Times New Roman" w:cs="Times New Roman"/>
          <w:sz w:val="20"/>
          <w:szCs w:val="32"/>
        </w:rPr>
      </w:pPr>
      <w:r>
        <w:rPr>
          <w:rFonts w:ascii="Times New Roman" w:eastAsia="黑体" w:hAnsi="Times New Roman" w:cs="Times New Roman"/>
          <w:sz w:val="32"/>
          <w:szCs w:val="32"/>
        </w:rPr>
        <w:t>第二部分</w:t>
      </w:r>
      <w:r>
        <w:rPr>
          <w:rFonts w:ascii="Times New Roman" w:eastAsia="黑体" w:hAnsi="Times New Roman" w:cs="Times New Roman" w:hint="eastAsia"/>
          <w:sz w:val="32"/>
          <w:szCs w:val="32"/>
        </w:rPr>
        <w:t xml:space="preserve">   2021</w:t>
      </w:r>
      <w:r>
        <w:rPr>
          <w:rFonts w:ascii="Times New Roman" w:eastAsia="黑体" w:hAnsi="Times New Roman" w:cs="Times New Roman" w:hint="eastAsia"/>
          <w:sz w:val="32"/>
          <w:szCs w:val="32"/>
        </w:rPr>
        <w:t>年</w:t>
      </w:r>
      <w:r>
        <w:rPr>
          <w:rFonts w:ascii="Times New Roman" w:eastAsia="黑体" w:hAnsi="Times New Roman" w:cs="Times New Roman"/>
          <w:sz w:val="32"/>
          <w:szCs w:val="32"/>
        </w:rPr>
        <w:t>度</w:t>
      </w:r>
      <w:r w:rsidR="00CF1C8D">
        <w:rPr>
          <w:rFonts w:ascii="Times New Roman" w:eastAsia="黑体" w:hAnsi="Times New Roman" w:cs="Times New Roman" w:hint="eastAsia"/>
          <w:sz w:val="32"/>
          <w:szCs w:val="32"/>
        </w:rPr>
        <w:t>单位</w:t>
      </w:r>
      <w:r>
        <w:rPr>
          <w:rFonts w:ascii="Times New Roman" w:eastAsia="黑体" w:hAnsi="Times New Roman" w:cs="Times New Roman"/>
          <w:sz w:val="32"/>
          <w:szCs w:val="32"/>
        </w:rPr>
        <w:t>决算报表</w:t>
      </w:r>
    </w:p>
    <w:p w:rsidR="002E7545" w:rsidRDefault="00A918A2">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第三部分</w:t>
      </w:r>
      <w:r>
        <w:rPr>
          <w:rFonts w:ascii="Times New Roman" w:eastAsia="黑体" w:hAnsi="Times New Roman" w:cs="Times New Roman"/>
          <w:sz w:val="32"/>
          <w:szCs w:val="32"/>
        </w:rPr>
        <w:t xml:space="preserve">   </w:t>
      </w:r>
      <w:r>
        <w:rPr>
          <w:rFonts w:ascii="Times New Roman" w:eastAsia="黑体" w:hAnsi="Times New Roman" w:cs="Times New Roman" w:hint="eastAsia"/>
          <w:sz w:val="32"/>
          <w:szCs w:val="32"/>
        </w:rPr>
        <w:t>2021</w:t>
      </w:r>
      <w:r>
        <w:rPr>
          <w:rFonts w:ascii="Times New Roman" w:eastAsia="黑体" w:hAnsi="Times New Roman" w:cs="Times New Roman" w:hint="eastAsia"/>
          <w:sz w:val="32"/>
          <w:szCs w:val="32"/>
        </w:rPr>
        <w:t>年</w:t>
      </w:r>
      <w:r w:rsidR="00CF1C8D">
        <w:rPr>
          <w:rFonts w:ascii="Times New Roman" w:eastAsia="黑体" w:hAnsi="Times New Roman" w:cs="Times New Roman" w:hint="eastAsia"/>
          <w:sz w:val="32"/>
          <w:szCs w:val="32"/>
        </w:rPr>
        <w:t>单位</w:t>
      </w:r>
      <w:r>
        <w:rPr>
          <w:rFonts w:ascii="Times New Roman" w:eastAsia="黑体" w:hAnsi="Times New Roman" w:cs="Times New Roman"/>
          <w:sz w:val="32"/>
          <w:szCs w:val="32"/>
        </w:rPr>
        <w:t>决算情况说明</w:t>
      </w:r>
    </w:p>
    <w:p w:rsidR="002E7545" w:rsidRDefault="00A918A2">
      <w:pPr>
        <w:widowControl/>
        <w:spacing w:after="160" w:line="58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hint="eastAsia"/>
          <w:sz w:val="32"/>
          <w:szCs w:val="32"/>
        </w:rPr>
        <w:t>收入支出决算总体情况说明</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二、收入决算情况说明</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三、支出决算情况说明</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w:t>
      </w:r>
      <w:r>
        <w:rPr>
          <w:rFonts w:ascii="Times New Roman" w:eastAsia="仿宋_GB2312" w:hAnsi="Times New Roman" w:cs="Times New Roman" w:hint="eastAsia"/>
          <w:sz w:val="32"/>
          <w:szCs w:val="32"/>
        </w:rPr>
        <w:t>财政拨款收入支出决算总体情况说明</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五、一般公共预算“三公”</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经费支出决算情况说明</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六、预算绩效情况说明</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七、机关运行经费情况</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八</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政府采购情况</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九、国有资产占用情况</w:t>
      </w:r>
    </w:p>
    <w:p w:rsidR="002E7545" w:rsidRDefault="00A918A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十、其他需要说明的情况</w:t>
      </w:r>
    </w:p>
    <w:p w:rsidR="002E7545" w:rsidRDefault="00A918A2">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w:t>
      </w:r>
      <w:r>
        <w:rPr>
          <w:rFonts w:ascii="Times New Roman" w:eastAsia="黑体" w:hAnsi="Times New Roman" w:cs="Times New Roman" w:hint="eastAsia"/>
          <w:sz w:val="32"/>
          <w:szCs w:val="32"/>
        </w:rPr>
        <w:t>四</w:t>
      </w:r>
      <w:r>
        <w:rPr>
          <w:rFonts w:ascii="Times New Roman" w:eastAsia="黑体" w:hAnsi="Times New Roman" w:cs="Times New Roman"/>
          <w:sz w:val="32"/>
          <w:szCs w:val="32"/>
        </w:rPr>
        <w:t>部分</w:t>
      </w:r>
      <w:r>
        <w:rPr>
          <w:rFonts w:ascii="Times New Roman" w:eastAsia="黑体" w:hAnsi="Times New Roman" w:cs="Times New Roman" w:hint="eastAsia"/>
          <w:sz w:val="32"/>
          <w:szCs w:val="32"/>
        </w:rPr>
        <w:t xml:space="preserve">  </w:t>
      </w:r>
      <w:r>
        <w:rPr>
          <w:rFonts w:ascii="Times New Roman" w:eastAsia="黑体" w:hAnsi="Times New Roman" w:cs="Times New Roman"/>
          <w:sz w:val="32"/>
          <w:szCs w:val="32"/>
        </w:rPr>
        <w:t>名词解释</w:t>
      </w:r>
    </w:p>
    <w:p w:rsidR="002E7545" w:rsidRDefault="002E7545">
      <w:pPr>
        <w:widowControl/>
        <w:spacing w:after="160" w:line="580" w:lineRule="exact"/>
        <w:ind w:firstLineChars="200" w:firstLine="640"/>
        <w:rPr>
          <w:rFonts w:ascii="Times New Roman" w:eastAsia="黑体" w:hAnsi="Times New Roman" w:cs="Times New Roman"/>
          <w:sz w:val="32"/>
          <w:szCs w:val="32"/>
        </w:rPr>
        <w:sectPr w:rsidR="002E7545">
          <w:headerReference w:type="default" r:id="rId23"/>
          <w:footerReference w:type="default" r:id="rId24"/>
          <w:headerReference w:type="first" r:id="rId25"/>
          <w:footerReference w:type="first" r:id="rId26"/>
          <w:pgSz w:w="11906" w:h="16838"/>
          <w:pgMar w:top="1474" w:right="1531" w:bottom="1474" w:left="1531" w:header="851" w:footer="992" w:gutter="0"/>
          <w:cols w:space="0"/>
          <w:titlePg/>
          <w:docGrid w:type="lines" w:linePitch="312"/>
        </w:sectPr>
      </w:pPr>
    </w:p>
    <w:p w:rsidR="002E7545" w:rsidRDefault="002E7545">
      <w:pPr>
        <w:widowControl/>
        <w:jc w:val="center"/>
        <w:rPr>
          <w:rFonts w:ascii="黑体" w:eastAsia="黑体" w:hAnsi="黑体" w:cs="黑体"/>
          <w:color w:val="000000" w:themeColor="text1"/>
          <w:sz w:val="48"/>
          <w:szCs w:val="48"/>
        </w:rPr>
      </w:pPr>
    </w:p>
    <w:p w:rsidR="002E7545" w:rsidRDefault="002E7545">
      <w:pPr>
        <w:widowControl/>
        <w:jc w:val="center"/>
        <w:rPr>
          <w:rFonts w:ascii="黑体" w:eastAsia="黑体" w:hAnsi="黑体" w:cs="黑体"/>
          <w:color w:val="000000" w:themeColor="text1"/>
          <w:sz w:val="48"/>
          <w:szCs w:val="48"/>
        </w:rPr>
      </w:pPr>
    </w:p>
    <w:p w:rsidR="002E7545" w:rsidRDefault="002E7545">
      <w:pPr>
        <w:widowControl/>
        <w:jc w:val="center"/>
        <w:rPr>
          <w:rFonts w:ascii="黑体" w:eastAsia="黑体" w:hAnsi="黑体" w:cs="黑体"/>
          <w:color w:val="000000" w:themeColor="text1"/>
          <w:sz w:val="48"/>
          <w:szCs w:val="48"/>
        </w:rPr>
      </w:pPr>
    </w:p>
    <w:p w:rsidR="002E7545" w:rsidRDefault="002E7545">
      <w:pPr>
        <w:widowControl/>
        <w:jc w:val="center"/>
        <w:rPr>
          <w:rFonts w:ascii="黑体" w:eastAsia="黑体" w:hAnsi="黑体" w:cs="黑体"/>
          <w:color w:val="000000" w:themeColor="text1"/>
          <w:sz w:val="48"/>
          <w:szCs w:val="48"/>
        </w:rPr>
      </w:pPr>
    </w:p>
    <w:p w:rsidR="002E7545" w:rsidRDefault="00A918A2">
      <w:pPr>
        <w:widowControl/>
        <w:rPr>
          <w:rFonts w:ascii="黑体" w:eastAsia="黑体" w:hAnsi="黑体" w:cs="黑体"/>
          <w:color w:val="000000" w:themeColor="text1"/>
          <w:sz w:val="48"/>
          <w:szCs w:val="48"/>
        </w:rPr>
      </w:pPr>
      <w:r>
        <w:rPr>
          <w:noProof/>
          <w:sz w:val="32"/>
        </w:rPr>
        <w:drawing>
          <wp:anchor distT="0" distB="0" distL="114300" distR="114300" simplePos="0" relativeHeight="251653632"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27" cstate="print">
                      <a:extLst>
                        <a:ext uri="{96DAC541-7B7A-43D3-8B79-37D633B846F1}">
                          <asvg:svgBlip xmlns:asvg="http://schemas.microsoft.com/office/drawing/2016/SVG/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r:embed="rId28"/>
                        </a:ext>
                      </a:extLst>
                    </a:blip>
                    <a:stretch>
                      <a:fillRect/>
                    </a:stretch>
                  </pic:blipFill>
                  <pic:spPr>
                    <a:xfrm>
                      <a:off x="0" y="0"/>
                      <a:ext cx="739775" cy="739775"/>
                    </a:xfrm>
                    <a:prstGeom prst="rect">
                      <a:avLst/>
                    </a:prstGeom>
                  </pic:spPr>
                </pic:pic>
              </a:graphicData>
            </a:graphic>
          </wp:anchor>
        </w:drawing>
      </w:r>
    </w:p>
    <w:p w:rsidR="002E7545" w:rsidRDefault="00A918A2">
      <w:pPr>
        <w:widowControl/>
        <w:jc w:val="center"/>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t xml:space="preserve"> </w:t>
      </w:r>
      <w:r>
        <w:rPr>
          <w:rFonts w:ascii="黑体" w:eastAsia="黑体" w:hAnsi="黑体" w:cs="黑体" w:hint="eastAsia"/>
          <w:color w:val="000000" w:themeColor="text1"/>
          <w:sz w:val="44"/>
          <w:szCs w:val="44"/>
        </w:rPr>
        <w:t>第一部分</w:t>
      </w:r>
      <w:r>
        <w:rPr>
          <w:rFonts w:ascii="黑体" w:eastAsia="黑体" w:hAnsi="黑体" w:cs="黑体" w:hint="eastAsia"/>
          <w:color w:val="000000" w:themeColor="text1"/>
          <w:sz w:val="44"/>
          <w:szCs w:val="44"/>
        </w:rPr>
        <w:t xml:space="preserve"> </w:t>
      </w:r>
      <w:r w:rsidR="00CF1C8D">
        <w:rPr>
          <w:rFonts w:ascii="黑体" w:eastAsia="黑体" w:hAnsi="黑体" w:cs="黑体" w:hint="eastAsia"/>
          <w:color w:val="000000" w:themeColor="text1"/>
          <w:sz w:val="44"/>
          <w:szCs w:val="44"/>
        </w:rPr>
        <w:t>单位</w:t>
      </w:r>
      <w:r>
        <w:rPr>
          <w:rFonts w:ascii="黑体" w:eastAsia="黑体" w:hAnsi="黑体" w:cs="黑体" w:hint="eastAsia"/>
          <w:color w:val="000000" w:themeColor="text1"/>
          <w:sz w:val="44"/>
          <w:szCs w:val="44"/>
        </w:rPr>
        <w:t>概况</w:t>
      </w:r>
    </w:p>
    <w:p w:rsidR="002E7545" w:rsidRDefault="002E7545">
      <w:pPr>
        <w:widowControl/>
        <w:spacing w:line="580" w:lineRule="exact"/>
        <w:ind w:firstLineChars="200" w:firstLine="640"/>
        <w:rPr>
          <w:rFonts w:eastAsia="黑体"/>
          <w:sz w:val="32"/>
          <w:szCs w:val="32"/>
        </w:rPr>
      </w:pPr>
    </w:p>
    <w:p w:rsidR="002E7545" w:rsidRDefault="00A918A2">
      <w:pPr>
        <w:rPr>
          <w:rFonts w:ascii="黑体" w:eastAsia="黑体" w:cs="黑体"/>
          <w:kern w:val="0"/>
          <w:sz w:val="32"/>
          <w:szCs w:val="32"/>
        </w:rPr>
      </w:pPr>
      <w:r>
        <w:rPr>
          <w:rFonts w:ascii="黑体" w:eastAsia="黑体" w:cs="黑体" w:hint="eastAsia"/>
          <w:kern w:val="0"/>
          <w:sz w:val="32"/>
          <w:szCs w:val="32"/>
        </w:rPr>
        <w:br w:type="page"/>
      </w:r>
    </w:p>
    <w:p w:rsidR="002E7545" w:rsidRDefault="00A918A2">
      <w:pPr>
        <w:pStyle w:val="1"/>
        <w:spacing w:before="0" w:after="0" w:line="580" w:lineRule="exact"/>
        <w:ind w:firstLineChars="200" w:firstLine="640"/>
        <w:jc w:val="left"/>
        <w:rPr>
          <w:rFonts w:ascii="黑体" w:eastAsia="黑体" w:cs="黑体"/>
          <w:b w:val="0"/>
          <w:bCs w:val="0"/>
          <w:kern w:val="0"/>
          <w:sz w:val="32"/>
          <w:szCs w:val="32"/>
        </w:rPr>
      </w:pPr>
      <w:r>
        <w:rPr>
          <w:rFonts w:ascii="黑体" w:eastAsia="黑体" w:cs="黑体" w:hint="eastAsia"/>
          <w:b w:val="0"/>
          <w:bCs w:val="0"/>
          <w:kern w:val="0"/>
          <w:sz w:val="32"/>
          <w:szCs w:val="32"/>
        </w:rPr>
        <w:lastRenderedPageBreak/>
        <w:t>一、</w:t>
      </w:r>
      <w:r w:rsidR="00CF1C8D">
        <w:rPr>
          <w:rFonts w:ascii="黑体" w:eastAsia="黑体" w:cs="黑体" w:hint="eastAsia"/>
          <w:b w:val="0"/>
          <w:bCs w:val="0"/>
          <w:kern w:val="0"/>
          <w:sz w:val="32"/>
          <w:szCs w:val="32"/>
        </w:rPr>
        <w:t>单位</w:t>
      </w:r>
      <w:r>
        <w:rPr>
          <w:rFonts w:ascii="黑体" w:eastAsia="黑体" w:cs="黑体" w:hint="eastAsia"/>
          <w:b w:val="0"/>
          <w:bCs w:val="0"/>
          <w:kern w:val="0"/>
          <w:sz w:val="32"/>
          <w:szCs w:val="32"/>
        </w:rPr>
        <w:t>职责</w:t>
      </w:r>
    </w:p>
    <w:p w:rsidR="002E7545" w:rsidRDefault="00A918A2">
      <w:pPr>
        <w:widowControl/>
        <w:spacing w:line="580" w:lineRule="exact"/>
        <w:ind w:firstLineChars="200" w:firstLine="640"/>
        <w:rPr>
          <w:rFonts w:ascii="仿宋_GB2312" w:eastAsia="仿宋_GB2312" w:hAnsi="Calibri" w:cs="ArialUnicodeMS"/>
          <w:kern w:val="0"/>
          <w:sz w:val="32"/>
          <w:szCs w:val="32"/>
        </w:rPr>
      </w:pPr>
      <w:r>
        <w:rPr>
          <w:rFonts w:ascii="仿宋_GB2312" w:eastAsia="仿宋_GB2312" w:cs="ArialUnicodeMS" w:hint="eastAsia"/>
          <w:kern w:val="0"/>
          <w:sz w:val="32"/>
          <w:szCs w:val="32"/>
        </w:rPr>
        <w:t>幼儿教育、幼儿保育及相关的社会服务。</w:t>
      </w:r>
    </w:p>
    <w:p w:rsidR="002E7545" w:rsidRDefault="00A918A2">
      <w:pPr>
        <w:keepNext/>
        <w:keepLines/>
        <w:spacing w:line="580" w:lineRule="exact"/>
        <w:ind w:firstLineChars="200" w:firstLine="640"/>
        <w:jc w:val="left"/>
        <w:outlineLvl w:val="0"/>
        <w:rPr>
          <w:rFonts w:ascii="黑体" w:eastAsia="黑体" w:hAnsi="Calibri" w:cs="黑体"/>
          <w:kern w:val="0"/>
          <w:sz w:val="32"/>
          <w:szCs w:val="32"/>
        </w:rPr>
      </w:pPr>
      <w:r>
        <w:rPr>
          <w:rFonts w:ascii="黑体" w:eastAsia="黑体" w:hAnsi="Calibri" w:cs="黑体" w:hint="eastAsia"/>
          <w:kern w:val="0"/>
          <w:sz w:val="32"/>
          <w:szCs w:val="32"/>
        </w:rPr>
        <w:t>二、机构设置</w:t>
      </w:r>
    </w:p>
    <w:p w:rsidR="002E7545" w:rsidRDefault="00A918A2">
      <w:pPr>
        <w:spacing w:line="580" w:lineRule="exact"/>
        <w:ind w:firstLineChars="200" w:firstLine="640"/>
        <w:rPr>
          <w:rFonts w:ascii="仿宋_GB2312" w:eastAsia="仿宋_GB2312" w:hAnsi="Calibri" w:cs="ArialUnicodeMS"/>
          <w:kern w:val="0"/>
          <w:sz w:val="32"/>
          <w:szCs w:val="32"/>
        </w:rPr>
      </w:pPr>
      <w:r>
        <w:rPr>
          <w:rFonts w:ascii="仿宋_GB2312" w:eastAsia="仿宋_GB2312" w:hAnsi="Calibri" w:cs="ArialUnicodeMS" w:hint="eastAsia"/>
          <w:kern w:val="0"/>
          <w:sz w:val="32"/>
          <w:szCs w:val="32"/>
        </w:rPr>
        <w:t>从决算编报单位构成看，纳入</w:t>
      </w:r>
      <w:r>
        <w:rPr>
          <w:rFonts w:ascii="仿宋_GB2312" w:eastAsia="仿宋_GB2312" w:hAnsi="Calibri" w:cs="ArialUnicodeMS" w:hint="eastAsia"/>
          <w:kern w:val="0"/>
          <w:sz w:val="32"/>
          <w:szCs w:val="32"/>
        </w:rPr>
        <w:t>2021</w:t>
      </w:r>
      <w:r>
        <w:rPr>
          <w:rFonts w:ascii="仿宋_GB2312" w:eastAsia="仿宋_GB2312" w:hAnsi="Calibri" w:cs="ArialUnicodeMS" w:hint="eastAsia"/>
          <w:kern w:val="0"/>
          <w:sz w:val="32"/>
          <w:szCs w:val="32"/>
        </w:rPr>
        <w:t>年度本</w:t>
      </w:r>
      <w:r w:rsidR="00CF1C8D">
        <w:rPr>
          <w:rFonts w:ascii="仿宋_GB2312" w:eastAsia="仿宋_GB2312" w:hAnsi="Calibri" w:cs="ArialUnicodeMS" w:hint="eastAsia"/>
          <w:kern w:val="0"/>
          <w:sz w:val="32"/>
          <w:szCs w:val="32"/>
        </w:rPr>
        <w:t>单位</w:t>
      </w:r>
      <w:r>
        <w:rPr>
          <w:rFonts w:ascii="仿宋_GB2312" w:eastAsia="仿宋_GB2312" w:hAnsi="Calibri" w:cs="ArialUnicodeMS" w:hint="eastAsia"/>
          <w:kern w:val="0"/>
          <w:sz w:val="32"/>
          <w:szCs w:val="32"/>
        </w:rPr>
        <w:t>决算汇编范围的独立核算单位（以下简称“单位”）共</w:t>
      </w:r>
      <w:r>
        <w:rPr>
          <w:rFonts w:ascii="仿宋_GB2312" w:eastAsia="仿宋_GB2312" w:hAnsi="Calibri" w:cs="ArialUnicodeMS" w:hint="eastAsia"/>
          <w:kern w:val="0"/>
          <w:sz w:val="32"/>
          <w:szCs w:val="32"/>
        </w:rPr>
        <w:t xml:space="preserve"> 1 </w:t>
      </w:r>
      <w:r>
        <w:rPr>
          <w:rFonts w:ascii="仿宋_GB2312" w:eastAsia="仿宋_GB2312" w:hAnsi="Calibri" w:cs="ArialUnicodeMS" w:hint="eastAsia"/>
          <w:kern w:val="0"/>
          <w:sz w:val="32"/>
          <w:szCs w:val="32"/>
        </w:rPr>
        <w:t>个，具体情况如下：</w:t>
      </w:r>
    </w:p>
    <w:tbl>
      <w:tblPr>
        <w:tblStyle w:val="a8"/>
        <w:tblpPr w:leftFromText="180" w:rightFromText="180" w:vertAnchor="text" w:horzAnchor="page" w:tblpXSpec="center" w:tblpY="10"/>
        <w:tblOverlap w:val="never"/>
        <w:tblW w:w="95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394"/>
        <w:gridCol w:w="2551"/>
        <w:gridCol w:w="2101"/>
      </w:tblGrid>
      <w:tr w:rsidR="002E7545">
        <w:trPr>
          <w:trHeight w:val="811"/>
          <w:jc w:val="center"/>
        </w:trPr>
        <w:tc>
          <w:tcPr>
            <w:tcW w:w="534" w:type="dxa"/>
            <w:vAlign w:val="center"/>
          </w:tcPr>
          <w:p w:rsidR="002E7545" w:rsidRDefault="00A918A2">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序号</w:t>
            </w:r>
          </w:p>
        </w:tc>
        <w:tc>
          <w:tcPr>
            <w:tcW w:w="4394" w:type="dxa"/>
            <w:vAlign w:val="center"/>
          </w:tcPr>
          <w:p w:rsidR="002E7545" w:rsidRDefault="00A918A2">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单位名称</w:t>
            </w:r>
          </w:p>
        </w:tc>
        <w:tc>
          <w:tcPr>
            <w:tcW w:w="2551" w:type="dxa"/>
            <w:vAlign w:val="center"/>
          </w:tcPr>
          <w:p w:rsidR="002E7545" w:rsidRDefault="00A918A2">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单位基本性质</w:t>
            </w:r>
          </w:p>
        </w:tc>
        <w:tc>
          <w:tcPr>
            <w:tcW w:w="2101" w:type="dxa"/>
            <w:vAlign w:val="center"/>
          </w:tcPr>
          <w:p w:rsidR="002E7545" w:rsidRDefault="00A918A2">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经费形式</w:t>
            </w:r>
          </w:p>
        </w:tc>
      </w:tr>
      <w:tr w:rsidR="002E7545">
        <w:trPr>
          <w:trHeight w:val="596"/>
          <w:jc w:val="center"/>
        </w:trPr>
        <w:tc>
          <w:tcPr>
            <w:tcW w:w="534" w:type="dxa"/>
          </w:tcPr>
          <w:p w:rsidR="002E7545" w:rsidRDefault="00A918A2">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1</w:t>
            </w:r>
          </w:p>
        </w:tc>
        <w:tc>
          <w:tcPr>
            <w:tcW w:w="4394" w:type="dxa"/>
          </w:tcPr>
          <w:p w:rsidR="002E7545" w:rsidRDefault="00A918A2">
            <w:pPr>
              <w:spacing w:line="560" w:lineRule="exact"/>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石家庄市藁城区通安幼儿园</w:t>
            </w:r>
          </w:p>
        </w:tc>
        <w:tc>
          <w:tcPr>
            <w:tcW w:w="2551" w:type="dxa"/>
          </w:tcPr>
          <w:p w:rsidR="002E7545" w:rsidRDefault="00A918A2">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财政补助事业单位</w:t>
            </w:r>
          </w:p>
        </w:tc>
        <w:tc>
          <w:tcPr>
            <w:tcW w:w="2101" w:type="dxa"/>
          </w:tcPr>
          <w:p w:rsidR="002E7545" w:rsidRDefault="00A918A2">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财政拨款</w:t>
            </w:r>
          </w:p>
        </w:tc>
      </w:tr>
    </w:tbl>
    <w:p w:rsidR="002E7545" w:rsidRDefault="002E7545">
      <w:pPr>
        <w:widowControl/>
        <w:spacing w:after="160" w:line="580" w:lineRule="exact"/>
        <w:ind w:firstLineChars="200" w:firstLine="640"/>
        <w:rPr>
          <w:rFonts w:ascii="Times New Roman" w:eastAsia="黑体" w:hAnsi="Times New Roman" w:cs="Times New Roman"/>
          <w:sz w:val="32"/>
          <w:szCs w:val="32"/>
        </w:rPr>
      </w:pPr>
    </w:p>
    <w:p w:rsidR="002E7545" w:rsidRDefault="002E7545">
      <w:pPr>
        <w:widowControl/>
        <w:spacing w:after="160" w:line="580" w:lineRule="exact"/>
        <w:ind w:firstLineChars="200" w:firstLine="880"/>
        <w:rPr>
          <w:rFonts w:ascii="黑体" w:eastAsia="黑体" w:hAnsi="黑体" w:cs="黑体"/>
          <w:color w:val="000000" w:themeColor="text1"/>
          <w:sz w:val="44"/>
          <w:szCs w:val="44"/>
        </w:rPr>
      </w:pPr>
    </w:p>
    <w:p w:rsidR="002E7545" w:rsidRDefault="002E7545">
      <w:pPr>
        <w:widowControl/>
        <w:spacing w:after="160" w:line="580" w:lineRule="exact"/>
        <w:ind w:firstLineChars="200" w:firstLine="880"/>
        <w:rPr>
          <w:rFonts w:ascii="黑体" w:eastAsia="黑体" w:hAnsi="黑体" w:cs="黑体"/>
          <w:color w:val="000000" w:themeColor="text1"/>
          <w:sz w:val="44"/>
          <w:szCs w:val="44"/>
        </w:rPr>
      </w:pPr>
    </w:p>
    <w:p w:rsidR="002E7545" w:rsidRDefault="002E7545">
      <w:pPr>
        <w:widowControl/>
        <w:spacing w:after="160" w:line="580" w:lineRule="exact"/>
        <w:ind w:firstLineChars="200" w:firstLine="880"/>
        <w:rPr>
          <w:rFonts w:ascii="黑体" w:eastAsia="黑体" w:hAnsi="黑体" w:cs="黑体"/>
          <w:color w:val="000000" w:themeColor="text1"/>
          <w:sz w:val="44"/>
          <w:szCs w:val="44"/>
        </w:rPr>
      </w:pPr>
    </w:p>
    <w:p w:rsidR="002E7545" w:rsidRDefault="002E7545">
      <w:pPr>
        <w:widowControl/>
        <w:spacing w:after="160" w:line="580" w:lineRule="exact"/>
        <w:ind w:firstLineChars="200" w:firstLine="880"/>
        <w:rPr>
          <w:rFonts w:ascii="黑体" w:eastAsia="黑体" w:hAnsi="黑体" w:cs="黑体"/>
          <w:color w:val="000000" w:themeColor="text1"/>
          <w:sz w:val="44"/>
          <w:szCs w:val="44"/>
        </w:rPr>
      </w:pPr>
    </w:p>
    <w:p w:rsidR="002E7545" w:rsidRDefault="002E7545">
      <w:pPr>
        <w:widowControl/>
        <w:spacing w:after="160" w:line="580" w:lineRule="exact"/>
        <w:ind w:firstLineChars="200" w:firstLine="880"/>
        <w:rPr>
          <w:rFonts w:ascii="黑体" w:eastAsia="黑体" w:hAnsi="黑体" w:cs="黑体"/>
          <w:color w:val="000000" w:themeColor="text1"/>
          <w:sz w:val="44"/>
          <w:szCs w:val="44"/>
        </w:rPr>
      </w:pPr>
    </w:p>
    <w:p w:rsidR="002E7545" w:rsidRDefault="002E7545">
      <w:pPr>
        <w:widowControl/>
        <w:spacing w:after="160" w:line="580" w:lineRule="exact"/>
        <w:ind w:firstLineChars="200" w:firstLine="880"/>
        <w:rPr>
          <w:rFonts w:ascii="黑体" w:eastAsia="黑体" w:hAnsi="黑体" w:cs="黑体"/>
          <w:color w:val="000000" w:themeColor="text1"/>
          <w:sz w:val="44"/>
          <w:szCs w:val="44"/>
        </w:rPr>
      </w:pPr>
    </w:p>
    <w:p w:rsidR="002E7545" w:rsidRDefault="002E7545">
      <w:pPr>
        <w:widowControl/>
        <w:spacing w:after="160" w:line="580" w:lineRule="exact"/>
        <w:ind w:firstLineChars="200" w:firstLine="880"/>
        <w:rPr>
          <w:rFonts w:ascii="黑体" w:eastAsia="黑体" w:hAnsi="黑体" w:cs="黑体"/>
          <w:color w:val="000000" w:themeColor="text1"/>
          <w:sz w:val="44"/>
          <w:szCs w:val="44"/>
        </w:rPr>
      </w:pPr>
    </w:p>
    <w:p w:rsidR="002E7545" w:rsidRDefault="002E7545">
      <w:pPr>
        <w:widowControl/>
        <w:spacing w:after="160" w:line="580" w:lineRule="exact"/>
        <w:rPr>
          <w:rFonts w:ascii="黑体" w:eastAsia="黑体" w:hAnsi="黑体" w:cs="黑体"/>
          <w:color w:val="000000" w:themeColor="text1"/>
          <w:sz w:val="44"/>
          <w:szCs w:val="44"/>
        </w:rPr>
      </w:pPr>
    </w:p>
    <w:p w:rsidR="002E7545" w:rsidRDefault="002E7545">
      <w:pPr>
        <w:widowControl/>
        <w:spacing w:after="160" w:line="580" w:lineRule="exact"/>
        <w:rPr>
          <w:rFonts w:ascii="黑体" w:eastAsia="黑体" w:hAnsi="黑体" w:cs="黑体"/>
          <w:color w:val="000000" w:themeColor="text1"/>
          <w:sz w:val="44"/>
          <w:szCs w:val="44"/>
        </w:rPr>
      </w:pPr>
    </w:p>
    <w:p w:rsidR="002E7545" w:rsidRDefault="002E7545">
      <w:pPr>
        <w:widowControl/>
        <w:spacing w:after="160" w:line="580" w:lineRule="exact"/>
        <w:rPr>
          <w:rFonts w:ascii="黑体" w:eastAsia="黑体" w:hAnsi="黑体" w:cs="黑体"/>
          <w:color w:val="000000" w:themeColor="text1"/>
          <w:sz w:val="44"/>
          <w:szCs w:val="44"/>
        </w:rPr>
      </w:pPr>
    </w:p>
    <w:p w:rsidR="002E7545" w:rsidRDefault="002E7545">
      <w:pPr>
        <w:widowControl/>
        <w:spacing w:after="160" w:line="580" w:lineRule="exact"/>
        <w:rPr>
          <w:rFonts w:ascii="黑体" w:eastAsia="黑体" w:hAnsi="黑体" w:cs="黑体"/>
          <w:color w:val="000000" w:themeColor="text1"/>
          <w:sz w:val="44"/>
          <w:szCs w:val="44"/>
        </w:rPr>
      </w:pPr>
    </w:p>
    <w:p w:rsidR="002E7545" w:rsidRDefault="002E7545">
      <w:pPr>
        <w:widowControl/>
        <w:spacing w:after="160" w:line="580" w:lineRule="exact"/>
        <w:rPr>
          <w:rFonts w:ascii="黑体" w:eastAsia="黑体" w:hAnsi="黑体" w:cs="黑体"/>
          <w:color w:val="000000" w:themeColor="text1"/>
          <w:sz w:val="44"/>
          <w:szCs w:val="44"/>
        </w:rPr>
      </w:pPr>
    </w:p>
    <w:p w:rsidR="002E7545" w:rsidRDefault="00A918A2">
      <w:pPr>
        <w:widowControl/>
        <w:spacing w:after="160" w:line="580" w:lineRule="exact"/>
        <w:rPr>
          <w:rFonts w:ascii="黑体" w:eastAsia="黑体" w:hAnsi="黑体" w:cs="黑体"/>
          <w:color w:val="000000" w:themeColor="text1"/>
          <w:sz w:val="44"/>
          <w:szCs w:val="44"/>
        </w:rPr>
      </w:pPr>
      <w:r>
        <w:rPr>
          <w:rFonts w:ascii="Times New Roman" w:eastAsia="黑体" w:hAnsi="Times New Roman" w:cs="Times New Roman" w:hint="eastAsia"/>
          <w:noProof/>
          <w:sz w:val="32"/>
          <w:szCs w:val="32"/>
        </w:rPr>
        <w:drawing>
          <wp:anchor distT="0" distB="0" distL="114300" distR="114300" simplePos="0" relativeHeight="251650560"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29" cstate="print">
                      <a:extLst>
                        <a:ext uri="{96DAC541-7B7A-43D3-8B79-37D633B846F1}">
                          <asvg:svgBlip xmlns:asvg="http://schemas.microsoft.com/office/drawing/2016/SVG/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r:embed="rId30"/>
                        </a:ext>
                      </a:extLst>
                    </a:blip>
                    <a:stretch>
                      <a:fillRect/>
                    </a:stretch>
                  </pic:blipFill>
                  <pic:spPr>
                    <a:xfrm>
                      <a:off x="0" y="0"/>
                      <a:ext cx="579120" cy="579120"/>
                    </a:xfrm>
                    <a:prstGeom prst="rect">
                      <a:avLst/>
                    </a:prstGeom>
                  </pic:spPr>
                </pic:pic>
              </a:graphicData>
            </a:graphic>
          </wp:anchor>
        </w:drawing>
      </w:r>
    </w:p>
    <w:p w:rsidR="002E7545" w:rsidRDefault="00A918A2">
      <w:pPr>
        <w:widowControl/>
        <w:spacing w:after="160" w:line="580" w:lineRule="exact"/>
        <w:ind w:firstLineChars="200" w:firstLine="880"/>
        <w:rPr>
          <w:rFonts w:ascii="黑体" w:eastAsia="黑体" w:hAnsi="黑体" w:cs="黑体"/>
          <w:color w:val="000000" w:themeColor="text1"/>
          <w:sz w:val="44"/>
          <w:szCs w:val="44"/>
        </w:rPr>
        <w:sectPr w:rsidR="002E7545">
          <w:headerReference w:type="default" r:id="rId31"/>
          <w:pgSz w:w="11906" w:h="16838"/>
          <w:pgMar w:top="2041" w:right="1531" w:bottom="1774" w:left="1531" w:header="851" w:footer="992" w:gutter="0"/>
          <w:pgNumType w:fmt="numberInDash"/>
          <w:cols w:space="0"/>
          <w:titlePg/>
          <w:docGrid w:type="lines" w:linePitch="312"/>
        </w:sectPr>
      </w:pPr>
      <w:r>
        <w:rPr>
          <w:rFonts w:ascii="黑体" w:eastAsia="黑体" w:hAnsi="黑体" w:cs="黑体" w:hint="eastAsia"/>
          <w:color w:val="000000" w:themeColor="text1"/>
          <w:sz w:val="44"/>
          <w:szCs w:val="44"/>
        </w:rPr>
        <w:t xml:space="preserve">    </w:t>
      </w:r>
      <w:r>
        <w:rPr>
          <w:rFonts w:ascii="黑体" w:eastAsia="黑体" w:hAnsi="黑体" w:cs="黑体" w:hint="eastAsia"/>
          <w:color w:val="000000" w:themeColor="text1"/>
          <w:sz w:val="44"/>
          <w:szCs w:val="44"/>
        </w:rPr>
        <w:t>第二部分</w:t>
      </w:r>
      <w:r>
        <w:rPr>
          <w:rFonts w:ascii="黑体" w:eastAsia="黑体" w:hAnsi="黑体" w:cs="黑体" w:hint="eastAsia"/>
          <w:color w:val="000000" w:themeColor="text1"/>
          <w:sz w:val="44"/>
          <w:szCs w:val="44"/>
        </w:rPr>
        <w:t xml:space="preserve">  2021</w:t>
      </w:r>
      <w:r>
        <w:rPr>
          <w:rFonts w:ascii="黑体" w:eastAsia="黑体" w:hAnsi="黑体" w:cs="黑体" w:hint="eastAsia"/>
          <w:color w:val="000000" w:themeColor="text1"/>
          <w:sz w:val="44"/>
          <w:szCs w:val="44"/>
        </w:rPr>
        <w:t>年度</w:t>
      </w:r>
      <w:r w:rsidR="00CF1C8D">
        <w:rPr>
          <w:rFonts w:ascii="黑体" w:eastAsia="黑体" w:hAnsi="黑体" w:cs="黑体" w:hint="eastAsia"/>
          <w:color w:val="000000" w:themeColor="text1"/>
          <w:sz w:val="44"/>
          <w:szCs w:val="44"/>
        </w:rPr>
        <w:t>单位</w:t>
      </w:r>
      <w:r>
        <w:rPr>
          <w:rFonts w:ascii="黑体" w:eastAsia="黑体" w:hAnsi="黑体" w:cs="黑体" w:hint="eastAsia"/>
          <w:color w:val="000000" w:themeColor="text1"/>
          <w:sz w:val="44"/>
          <w:szCs w:val="44"/>
        </w:rPr>
        <w:t>决算表</w:t>
      </w: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A918A2">
      <w:pPr>
        <w:widowControl/>
        <w:jc w:val="center"/>
        <w:rPr>
          <w:rFonts w:ascii="黑体" w:eastAsia="黑体" w:hAnsi="黑体" w:cs="黑体"/>
          <w:color w:val="000000" w:themeColor="text1"/>
          <w:sz w:val="44"/>
          <w:szCs w:val="44"/>
        </w:rPr>
      </w:pPr>
      <w:r>
        <w:rPr>
          <w:rFonts w:eastAsia="黑体" w:hint="eastAsia"/>
          <w:noProof/>
          <w:sz w:val="32"/>
          <w:szCs w:val="32"/>
        </w:rPr>
        <w:drawing>
          <wp:anchor distT="0" distB="0" distL="114300" distR="114300" simplePos="0" relativeHeight="251651584" behindDoc="0" locked="0" layoutInCell="1" allowOverlap="1">
            <wp:simplePos x="0" y="0"/>
            <wp:positionH relativeFrom="column">
              <wp:posOffset>-158115</wp:posOffset>
            </wp:positionH>
            <wp:positionV relativeFrom="margin">
              <wp:posOffset>3181350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32" cstate="print">
                      <a:extLst>
                        <a:ext uri="{96DAC541-7B7A-43D3-8B79-37D633B846F1}">
                          <asvg:svgBlip xmlns:asvg="http://schemas.microsoft.com/office/drawing/2016/SVG/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r:embed="rId33"/>
                        </a:ext>
                      </a:extLst>
                    </a:blip>
                    <a:stretch>
                      <a:fillRect/>
                    </a:stretch>
                  </pic:blipFill>
                  <pic:spPr>
                    <a:xfrm>
                      <a:off x="0" y="0"/>
                      <a:ext cx="660400" cy="660400"/>
                    </a:xfrm>
                    <a:prstGeom prst="rect">
                      <a:avLst/>
                    </a:prstGeom>
                  </pic:spPr>
                </pic:pic>
              </a:graphicData>
            </a:graphic>
          </wp:anchor>
        </w:drawing>
      </w:r>
    </w:p>
    <w:p w:rsidR="002E7545" w:rsidRDefault="00A918A2">
      <w:pPr>
        <w:widowControl/>
        <w:jc w:val="center"/>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t>第三部分</w:t>
      </w:r>
      <w:r>
        <w:rPr>
          <w:rFonts w:ascii="黑体" w:eastAsia="黑体" w:hAnsi="黑体" w:cs="黑体" w:hint="eastAsia"/>
          <w:color w:val="000000" w:themeColor="text1"/>
          <w:sz w:val="44"/>
          <w:szCs w:val="44"/>
        </w:rPr>
        <w:t xml:space="preserve"> 2021</w:t>
      </w:r>
      <w:r>
        <w:rPr>
          <w:rFonts w:ascii="黑体" w:eastAsia="黑体" w:hAnsi="黑体" w:cs="黑体" w:hint="eastAsia"/>
          <w:color w:val="000000" w:themeColor="text1"/>
          <w:sz w:val="44"/>
          <w:szCs w:val="44"/>
        </w:rPr>
        <w:t>年度</w:t>
      </w:r>
      <w:r w:rsidR="00CF1C8D">
        <w:rPr>
          <w:rFonts w:ascii="黑体" w:eastAsia="黑体" w:hAnsi="黑体" w:cs="黑体" w:hint="eastAsia"/>
          <w:color w:val="000000" w:themeColor="text1"/>
          <w:sz w:val="44"/>
          <w:szCs w:val="44"/>
        </w:rPr>
        <w:t>单位</w:t>
      </w:r>
      <w:r>
        <w:rPr>
          <w:rFonts w:ascii="黑体" w:eastAsia="黑体" w:hAnsi="黑体" w:cs="黑体" w:hint="eastAsia"/>
          <w:color w:val="000000" w:themeColor="text1"/>
          <w:sz w:val="44"/>
          <w:szCs w:val="44"/>
        </w:rPr>
        <w:t>决算情况说明</w:t>
      </w:r>
    </w:p>
    <w:p w:rsidR="002E7545" w:rsidRDefault="00A918A2">
      <w:pPr>
        <w:rPr>
          <w:rFonts w:ascii="黑体" w:eastAsia="黑体" w:hAnsi="Calibri" w:cs="Times New Roman"/>
          <w:sz w:val="32"/>
          <w:szCs w:val="32"/>
        </w:rPr>
      </w:pPr>
      <w:r>
        <w:rPr>
          <w:rFonts w:ascii="黑体" w:eastAsia="黑体" w:hAnsi="黑体" w:cs="黑体" w:hint="eastAsia"/>
          <w:color w:val="000000" w:themeColor="text1"/>
          <w:sz w:val="44"/>
          <w:szCs w:val="44"/>
        </w:rPr>
        <w:br w:type="page"/>
      </w:r>
    </w:p>
    <w:p w:rsidR="002E7545" w:rsidRDefault="00A918A2">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lastRenderedPageBreak/>
        <w:t>一、收入</w:t>
      </w:r>
      <w:r>
        <w:rPr>
          <w:rFonts w:ascii="黑体" w:eastAsia="黑体" w:hAnsi="Cambria" w:cs="黑体" w:hint="eastAsia"/>
          <w:kern w:val="0"/>
          <w:sz w:val="32"/>
          <w:szCs w:val="32"/>
        </w:rPr>
        <w:t>支出</w:t>
      </w:r>
      <w:r>
        <w:rPr>
          <w:rFonts w:ascii="黑体" w:eastAsia="黑体" w:hAnsi="Calibri" w:cs="Times New Roman" w:hint="eastAsia"/>
          <w:sz w:val="32"/>
          <w:szCs w:val="32"/>
        </w:rPr>
        <w:t>决算总体情况说明</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年度收、支总计（含结转和结余）</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万元。与</w:t>
      </w:r>
      <w:r>
        <w:rPr>
          <w:rFonts w:ascii="仿宋_GB2312" w:eastAsia="仿宋_GB2312" w:hAnsi="Times New Roman" w:cs="DengXian-Regular" w:hint="eastAsia"/>
          <w:sz w:val="32"/>
          <w:szCs w:val="32"/>
        </w:rPr>
        <w:t>2020</w:t>
      </w:r>
      <w:r>
        <w:rPr>
          <w:rFonts w:ascii="仿宋_GB2312" w:eastAsia="仿宋_GB2312" w:hAnsi="Times New Roman" w:cs="DengXian-Regular" w:hint="eastAsia"/>
          <w:sz w:val="32"/>
          <w:szCs w:val="32"/>
        </w:rPr>
        <w:t>年度决算相比，收支各减少</w:t>
      </w:r>
      <w:r>
        <w:rPr>
          <w:rFonts w:ascii="仿宋_GB2312" w:eastAsia="仿宋_GB2312" w:hAnsi="Times New Roman" w:cs="DengXian-Regular" w:hint="eastAsia"/>
          <w:sz w:val="32"/>
          <w:szCs w:val="32"/>
        </w:rPr>
        <w:t>32.9</w:t>
      </w:r>
      <w:r>
        <w:rPr>
          <w:rFonts w:ascii="仿宋_GB2312" w:eastAsia="仿宋_GB2312" w:hAnsi="Times New Roman" w:cs="DengXian-Regular" w:hint="eastAsia"/>
          <w:sz w:val="32"/>
          <w:szCs w:val="32"/>
        </w:rPr>
        <w:t>万元，下降</w:t>
      </w:r>
      <w:r>
        <w:rPr>
          <w:rFonts w:ascii="仿宋_GB2312" w:eastAsia="仿宋_GB2312" w:hAnsi="Times New Roman" w:cs="DengXian-Regular" w:hint="eastAsia"/>
          <w:sz w:val="32"/>
          <w:szCs w:val="32"/>
        </w:rPr>
        <w:t>3%</w:t>
      </w:r>
      <w:r>
        <w:rPr>
          <w:rFonts w:ascii="仿宋_GB2312" w:eastAsia="仿宋_GB2312" w:hAnsi="Times New Roman" w:cs="DengXian-Regular" w:hint="eastAsia"/>
          <w:sz w:val="32"/>
          <w:szCs w:val="32"/>
        </w:rPr>
        <w:t>，主要原因是因疫情收入减少。</w:t>
      </w:r>
    </w:p>
    <w:p w:rsidR="002E7545" w:rsidRDefault="00A918A2">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二、收入决算情况说明</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年度收入合计</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万元，其中：财政拨款收入</w:t>
      </w:r>
      <w:r>
        <w:rPr>
          <w:rFonts w:ascii="仿宋_GB2312" w:eastAsia="仿宋_GB2312" w:hAnsi="Times New Roman" w:cs="DengXian-Regular" w:hint="eastAsia"/>
          <w:sz w:val="32"/>
          <w:szCs w:val="32"/>
        </w:rPr>
        <w:t>971.8</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88%</w:t>
      </w:r>
      <w:r>
        <w:rPr>
          <w:rFonts w:ascii="仿宋_GB2312" w:eastAsia="仿宋_GB2312" w:hAnsi="Times New Roman" w:cs="DengXian-Regular" w:hint="eastAsia"/>
          <w:sz w:val="32"/>
          <w:szCs w:val="32"/>
        </w:rPr>
        <w:t>；事业收入</w:t>
      </w:r>
      <w:r>
        <w:rPr>
          <w:rFonts w:ascii="仿宋_GB2312" w:eastAsia="仿宋_GB2312" w:hAnsi="Times New Roman" w:cs="DengXian-Regular" w:hint="eastAsia"/>
          <w:sz w:val="32"/>
          <w:szCs w:val="32"/>
        </w:rPr>
        <w:t>131.6</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12%</w:t>
      </w:r>
      <w:r>
        <w:rPr>
          <w:rFonts w:ascii="仿宋_GB2312" w:eastAsia="仿宋_GB2312" w:hAnsi="Times New Roman" w:cs="DengXian-Regular" w:hint="eastAsia"/>
          <w:sz w:val="32"/>
          <w:szCs w:val="32"/>
        </w:rPr>
        <w:t>；经营收入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；其他收入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
    <w:p w:rsidR="002E7545" w:rsidRDefault="00A918A2">
      <w:pPr>
        <w:adjustRightInd w:val="0"/>
        <w:snapToGrid w:val="0"/>
        <w:spacing w:line="580" w:lineRule="exact"/>
        <w:ind w:firstLineChars="200" w:firstLine="420"/>
        <w:rPr>
          <w:rFonts w:ascii="仿宋_GB2312" w:eastAsia="仿宋_GB2312" w:hAnsi="Times New Roman" w:cs="DengXian-Regular"/>
          <w:b/>
          <w:bCs/>
          <w:sz w:val="32"/>
          <w:szCs w:val="32"/>
          <w:highlight w:val="yellow"/>
        </w:rPr>
      </w:pPr>
      <w:r>
        <w:rPr>
          <w:noProof/>
        </w:rPr>
        <w:drawing>
          <wp:anchor distT="0" distB="0" distL="114300" distR="114300" simplePos="0" relativeHeight="251652608" behindDoc="0" locked="0" layoutInCell="1" allowOverlap="1">
            <wp:simplePos x="0" y="0"/>
            <wp:positionH relativeFrom="column">
              <wp:posOffset>551815</wp:posOffset>
            </wp:positionH>
            <wp:positionV relativeFrom="paragraph">
              <wp:posOffset>377825</wp:posOffset>
            </wp:positionV>
            <wp:extent cx="4535170" cy="2096770"/>
            <wp:effectExtent l="0" t="0" r="17780" b="17780"/>
            <wp:wrapTopAndBottom/>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anchor>
        </w:drawing>
      </w: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2E7545" w:rsidRDefault="00A918A2">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三、支出决算情况说明</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年度支出合计</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万元，其中：基本支出</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100%</w:t>
      </w:r>
      <w:r>
        <w:rPr>
          <w:rFonts w:ascii="仿宋_GB2312" w:eastAsia="仿宋_GB2312" w:hAnsi="Times New Roman" w:cs="DengXian-Regular" w:hint="eastAsia"/>
          <w:sz w:val="32"/>
          <w:szCs w:val="32"/>
        </w:rPr>
        <w:t>；项目支出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；经营支出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2E7545" w:rsidRDefault="002E7545">
      <w:pPr>
        <w:adjustRightInd w:val="0"/>
        <w:snapToGrid w:val="0"/>
        <w:spacing w:line="580" w:lineRule="exact"/>
        <w:rPr>
          <w:rFonts w:ascii="仿宋_GB2312" w:eastAsia="仿宋_GB2312" w:hAnsi="Times New Roman" w:cs="DengXian-Regular"/>
          <w:sz w:val="32"/>
          <w:szCs w:val="32"/>
          <w:highlight w:val="yellow"/>
        </w:rPr>
      </w:pPr>
    </w:p>
    <w:p w:rsidR="002E7545" w:rsidRDefault="002E7545">
      <w:pPr>
        <w:adjustRightInd w:val="0"/>
        <w:snapToGrid w:val="0"/>
        <w:spacing w:line="580" w:lineRule="exact"/>
        <w:rPr>
          <w:rFonts w:ascii="仿宋_GB2312" w:eastAsia="仿宋_GB2312" w:hAnsi="Times New Roman" w:cs="DengXian-Regular"/>
          <w:sz w:val="32"/>
          <w:szCs w:val="32"/>
          <w:highlight w:val="yellow"/>
        </w:rPr>
      </w:pPr>
    </w:p>
    <w:p w:rsidR="002E7545" w:rsidRDefault="002E7545">
      <w:pPr>
        <w:adjustRightInd w:val="0"/>
        <w:snapToGrid w:val="0"/>
        <w:spacing w:line="580" w:lineRule="exact"/>
        <w:rPr>
          <w:rFonts w:ascii="仿宋_GB2312" w:eastAsia="仿宋_GB2312" w:hAnsi="Times New Roman" w:cs="DengXian-Regular"/>
          <w:sz w:val="32"/>
          <w:szCs w:val="32"/>
          <w:highlight w:val="yellow"/>
        </w:rPr>
      </w:pPr>
    </w:p>
    <w:p w:rsidR="002E7545" w:rsidRDefault="002E7545">
      <w:pPr>
        <w:adjustRightInd w:val="0"/>
        <w:snapToGrid w:val="0"/>
        <w:spacing w:line="580" w:lineRule="exact"/>
        <w:rPr>
          <w:rFonts w:ascii="仿宋_GB2312" w:eastAsia="仿宋_GB2312" w:hAnsi="Times New Roman" w:cs="DengXian-Regular"/>
          <w:sz w:val="32"/>
          <w:szCs w:val="32"/>
          <w:highlight w:val="yellow"/>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2E7545" w:rsidRDefault="00A918A2">
      <w:pPr>
        <w:adjustRightInd w:val="0"/>
        <w:snapToGrid w:val="0"/>
        <w:spacing w:line="580" w:lineRule="exact"/>
        <w:ind w:firstLineChars="200" w:firstLine="420"/>
        <w:rPr>
          <w:rFonts w:ascii="仿宋_GB2312" w:eastAsia="仿宋_GB2312" w:hAnsi="Times New Roman" w:cs="DengXian-Regular"/>
          <w:sz w:val="32"/>
          <w:szCs w:val="32"/>
          <w:highlight w:val="yellow"/>
        </w:rPr>
      </w:pPr>
      <w:r>
        <w:rPr>
          <w:noProof/>
        </w:rPr>
        <w:drawing>
          <wp:anchor distT="0" distB="0" distL="114300" distR="114300" simplePos="0" relativeHeight="251658752" behindDoc="0" locked="0" layoutInCell="1" allowOverlap="1">
            <wp:simplePos x="0" y="0"/>
            <wp:positionH relativeFrom="column">
              <wp:posOffset>271145</wp:posOffset>
            </wp:positionH>
            <wp:positionV relativeFrom="paragraph">
              <wp:posOffset>-2446655</wp:posOffset>
            </wp:positionV>
            <wp:extent cx="4572000" cy="2743200"/>
            <wp:effectExtent l="0" t="0" r="0" b="0"/>
            <wp:wrapNone/>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anchor>
        </w:drawing>
      </w:r>
    </w:p>
    <w:p w:rsidR="002E7545" w:rsidRDefault="00A918A2">
      <w:pPr>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四、</w:t>
      </w:r>
      <w:r>
        <w:rPr>
          <w:rFonts w:ascii="黑体" w:eastAsia="黑体" w:hAnsi="Cambria" w:cs="黑体" w:hint="eastAsia"/>
          <w:kern w:val="0"/>
          <w:sz w:val="32"/>
          <w:szCs w:val="32"/>
        </w:rPr>
        <w:t>财政</w:t>
      </w:r>
      <w:r>
        <w:rPr>
          <w:rFonts w:ascii="黑体" w:eastAsia="黑体" w:hAnsi="Calibri" w:cs="Times New Roman" w:hint="eastAsia"/>
          <w:sz w:val="32"/>
          <w:szCs w:val="32"/>
        </w:rPr>
        <w:t>拨款收入支出决算总体情况说明</w:t>
      </w:r>
    </w:p>
    <w:p w:rsidR="002E7545" w:rsidRDefault="00A918A2">
      <w:pPr>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（一）财政拨款收支与</w:t>
      </w:r>
      <w:r>
        <w:rPr>
          <w:rFonts w:ascii="楷体_GB2312" w:eastAsia="楷体_GB2312" w:hAnsi="Times New Roman" w:cs="DengXian-Bold" w:hint="eastAsia"/>
          <w:b/>
          <w:bCs/>
          <w:sz w:val="32"/>
          <w:szCs w:val="32"/>
        </w:rPr>
        <w:t>2020</w:t>
      </w:r>
      <w:r>
        <w:rPr>
          <w:rFonts w:ascii="楷体_GB2312" w:eastAsia="楷体_GB2312" w:hAnsi="Times New Roman" w:cs="DengXian-Bold" w:hint="eastAsia"/>
          <w:b/>
          <w:bCs/>
          <w:sz w:val="32"/>
          <w:szCs w:val="32"/>
        </w:rPr>
        <w:t>年度决算对比情况</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年度财政拨款本年收入</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w:t>
      </w:r>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比</w:t>
      </w:r>
      <w:r>
        <w:rPr>
          <w:rFonts w:ascii="仿宋_GB2312" w:eastAsia="仿宋_GB2312" w:hAnsi="Times New Roman" w:cs="DengXian-Regular" w:hint="eastAsia"/>
          <w:sz w:val="32"/>
          <w:szCs w:val="32"/>
        </w:rPr>
        <w:t>2020</w:t>
      </w:r>
      <w:r>
        <w:rPr>
          <w:rFonts w:ascii="仿宋_GB2312" w:eastAsia="仿宋_GB2312" w:hAnsi="Times New Roman" w:cs="DengXian-Regular" w:hint="eastAsia"/>
          <w:sz w:val="32"/>
          <w:szCs w:val="32"/>
        </w:rPr>
        <w:t>年度减少</w:t>
      </w:r>
      <w:r>
        <w:rPr>
          <w:rFonts w:ascii="仿宋_GB2312" w:eastAsia="仿宋_GB2312" w:hAnsi="Times New Roman" w:cs="DengXian-Regular" w:hint="eastAsia"/>
          <w:sz w:val="32"/>
          <w:szCs w:val="32"/>
        </w:rPr>
        <w:t>32.9</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3%</w:t>
      </w:r>
      <w:r>
        <w:rPr>
          <w:rFonts w:ascii="仿宋_GB2312" w:eastAsia="仿宋_GB2312" w:hAnsi="Times New Roman" w:cs="DengXian-Regular" w:hint="eastAsia"/>
          <w:sz w:val="32"/>
          <w:szCs w:val="32"/>
        </w:rPr>
        <w:t>，主要是因疫情收入减少；本年支出</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万元，减少</w:t>
      </w:r>
      <w:r>
        <w:rPr>
          <w:rFonts w:ascii="仿宋_GB2312" w:eastAsia="仿宋_GB2312" w:hAnsi="Times New Roman" w:cs="DengXian-Regular" w:hint="eastAsia"/>
          <w:sz w:val="32"/>
          <w:szCs w:val="32"/>
        </w:rPr>
        <w:t>32.9</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3%</w:t>
      </w:r>
      <w:r>
        <w:rPr>
          <w:rFonts w:ascii="仿宋_GB2312" w:eastAsia="仿宋_GB2312" w:hAnsi="Times New Roman" w:cs="DengXian-Regular" w:hint="eastAsia"/>
          <w:sz w:val="32"/>
          <w:szCs w:val="32"/>
        </w:rPr>
        <w:t>，主要是因疫情收入减少。具体情况如下：</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w:t>
      </w:r>
      <w:r>
        <w:rPr>
          <w:rFonts w:ascii="仿宋_GB2312" w:eastAsia="仿宋_GB2312" w:hAnsi="Times New Roman" w:cs="DengXian-Regular" w:hint="eastAsia"/>
          <w:sz w:val="32"/>
          <w:szCs w:val="32"/>
        </w:rPr>
        <w:t>一般公共预算财政拨款本年收入</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万元，比上年减少</w:t>
      </w:r>
      <w:r>
        <w:rPr>
          <w:rFonts w:ascii="仿宋_GB2312" w:eastAsia="仿宋_GB2312" w:hAnsi="Times New Roman" w:cs="DengXian-Regular" w:hint="eastAsia"/>
          <w:sz w:val="32"/>
          <w:szCs w:val="32"/>
        </w:rPr>
        <w:t>32.9</w:t>
      </w:r>
      <w:r>
        <w:rPr>
          <w:rFonts w:ascii="仿宋_GB2312" w:eastAsia="仿宋_GB2312" w:hAnsi="Times New Roman" w:cs="DengXian-Regular" w:hint="eastAsia"/>
          <w:sz w:val="32"/>
          <w:szCs w:val="32"/>
        </w:rPr>
        <w:t>万元；主要是因疫情收入减少；本年支出</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万元，比上年减少</w:t>
      </w:r>
      <w:r>
        <w:rPr>
          <w:rFonts w:ascii="仿宋_GB2312" w:eastAsia="仿宋_GB2312" w:hAnsi="Times New Roman" w:cs="DengXian-Regular" w:hint="eastAsia"/>
          <w:sz w:val="32"/>
          <w:szCs w:val="32"/>
        </w:rPr>
        <w:t>32.9</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3%</w:t>
      </w:r>
      <w:r>
        <w:rPr>
          <w:rFonts w:ascii="仿宋_GB2312" w:eastAsia="仿宋_GB2312" w:hAnsi="Times New Roman" w:cs="DengXian-Regular" w:hint="eastAsia"/>
          <w:sz w:val="32"/>
          <w:szCs w:val="32"/>
        </w:rPr>
        <w:t>，主要是因疫情收入减少。</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w:t>
      </w:r>
      <w:r>
        <w:rPr>
          <w:rFonts w:ascii="仿宋_GB2312" w:eastAsia="仿宋_GB2312" w:hAnsi="Times New Roman" w:cs="DengXian-Regular" w:hint="eastAsia"/>
          <w:sz w:val="32"/>
          <w:szCs w:val="32"/>
        </w:rPr>
        <w:t>政府性基金预算财政拨款本年收</w:t>
      </w:r>
      <w:r>
        <w:rPr>
          <w:rFonts w:ascii="仿宋_GB2312" w:eastAsia="仿宋_GB2312" w:hAnsi="Times New Roman" w:cs="DengXian-Regular" w:hint="eastAsia"/>
          <w:sz w:val="32"/>
          <w:szCs w:val="32"/>
        </w:rPr>
        <w:t>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万元，与上年持平</w:t>
      </w:r>
      <w:r>
        <w:rPr>
          <w:rFonts w:ascii="仿宋_GB2312" w:eastAsia="仿宋_GB2312" w:hAnsi="Times New Roman" w:cs="DengXian-Regular" w:hint="eastAsia"/>
          <w:sz w:val="32"/>
          <w:szCs w:val="32"/>
        </w:rPr>
        <w:t>,</w:t>
      </w:r>
      <w:bookmarkStart w:id="0" w:name="_Hlk117586829"/>
      <w:r>
        <w:rPr>
          <w:rFonts w:ascii="仿宋_GB2312" w:eastAsia="仿宋_GB2312" w:hAnsi="Times New Roman" w:cs="DengXian-Regular" w:hint="eastAsia"/>
          <w:sz w:val="32"/>
          <w:szCs w:val="32"/>
        </w:rPr>
        <w:t>主要原因是无政府性基金</w:t>
      </w:r>
      <w:bookmarkEnd w:id="0"/>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本年支出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万元，与上年持平</w:t>
      </w:r>
      <w:r>
        <w:rPr>
          <w:rFonts w:ascii="仿宋_GB2312" w:eastAsia="仿宋_GB2312" w:hAnsi="Times New Roman" w:cs="DengXian-Regular"/>
          <w:sz w:val="32"/>
          <w:szCs w:val="32"/>
        </w:rPr>
        <w:t>,</w:t>
      </w:r>
      <w:r>
        <w:rPr>
          <w:rFonts w:ascii="仿宋_GB2312" w:eastAsia="仿宋_GB2312" w:hAnsi="Times New Roman" w:cs="DengXian-Regular" w:hint="eastAsia"/>
          <w:sz w:val="32"/>
          <w:szCs w:val="32"/>
        </w:rPr>
        <w:t>主要原因是无政府性基金。</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3.</w:t>
      </w:r>
      <w:r>
        <w:rPr>
          <w:rFonts w:ascii="仿宋_GB2312" w:eastAsia="仿宋_GB2312" w:hAnsi="Times New Roman" w:cs="DengXian-Regular" w:hint="eastAsia"/>
          <w:sz w:val="32"/>
          <w:szCs w:val="32"/>
        </w:rPr>
        <w:t>国有资本经营预算财政拨款本年收入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万元，与上年持平</w:t>
      </w:r>
      <w:r>
        <w:rPr>
          <w:rFonts w:ascii="仿宋_GB2312" w:eastAsia="仿宋_GB2312" w:hAnsi="Times New Roman" w:cs="DengXian-Regular"/>
          <w:sz w:val="32"/>
          <w:szCs w:val="32"/>
        </w:rPr>
        <w:t>,</w:t>
      </w:r>
      <w:r>
        <w:rPr>
          <w:rFonts w:ascii="仿宋_GB2312" w:eastAsia="仿宋_GB2312" w:hAnsi="Times New Roman" w:cs="DengXian-Regular" w:hint="eastAsia"/>
          <w:sz w:val="32"/>
          <w:szCs w:val="32"/>
        </w:rPr>
        <w:t>主要原因是无国有资本经营预算；本年支出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万元，与上年持平，主要原因是无国有资本经营预算。</w:t>
      </w: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A918A2">
      <w:pPr>
        <w:adjustRightInd w:val="0"/>
        <w:snapToGrid w:val="0"/>
        <w:spacing w:line="580" w:lineRule="exact"/>
        <w:ind w:firstLineChars="200" w:firstLine="420"/>
        <w:rPr>
          <w:rFonts w:ascii="仿宋_GB2312" w:eastAsia="仿宋_GB2312" w:hAnsi="Times New Roman" w:cs="DengXian-Regular"/>
          <w:sz w:val="32"/>
          <w:szCs w:val="32"/>
        </w:rPr>
      </w:pPr>
      <w:r>
        <w:rPr>
          <w:noProof/>
        </w:rPr>
        <w:drawing>
          <wp:anchor distT="0" distB="0" distL="114300" distR="114300" simplePos="0" relativeHeight="251654656" behindDoc="0" locked="0" layoutInCell="1" allowOverlap="1">
            <wp:simplePos x="0" y="0"/>
            <wp:positionH relativeFrom="column">
              <wp:posOffset>393065</wp:posOffset>
            </wp:positionH>
            <wp:positionV relativeFrom="paragraph">
              <wp:posOffset>62230</wp:posOffset>
            </wp:positionV>
            <wp:extent cx="4572000" cy="2743200"/>
            <wp:effectExtent l="0" t="0" r="0" b="0"/>
            <wp:wrapNone/>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anchor>
        </w:drawing>
      </w: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rPr>
          <w:rFonts w:ascii="仿宋_GB2312" w:eastAsia="仿宋_GB2312" w:hAnsi="Times New Roman" w:cs="DengXian-Regular"/>
          <w:sz w:val="32"/>
          <w:szCs w:val="32"/>
        </w:rPr>
      </w:pPr>
    </w:p>
    <w:p w:rsidR="002E7545" w:rsidRDefault="00A918A2">
      <w:pPr>
        <w:snapToGrid w:val="0"/>
        <w:spacing w:line="580" w:lineRule="exact"/>
        <w:ind w:firstLineChars="200" w:firstLine="643"/>
        <w:rPr>
          <w:rFonts w:ascii="仿宋_GB2312" w:eastAsia="仿宋_GB2312" w:hAnsi="Times New Roman" w:cs="DengXian-Bold"/>
          <w:b/>
          <w:bCs/>
          <w:sz w:val="32"/>
          <w:szCs w:val="32"/>
        </w:rPr>
      </w:pPr>
      <w:r>
        <w:rPr>
          <w:rFonts w:ascii="楷体_GB2312" w:eastAsia="楷体_GB2312" w:hAnsi="Times New Roman" w:cs="DengXian-Bold" w:hint="eastAsia"/>
          <w:b/>
          <w:bCs/>
          <w:sz w:val="32"/>
          <w:szCs w:val="32"/>
        </w:rPr>
        <w:t>（二）财政拨款收支与年初预算数对比情况</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年度财政拨款本年收入</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万元，完成年初预算的</w:t>
      </w:r>
      <w:r>
        <w:rPr>
          <w:rFonts w:ascii="仿宋_GB2312" w:eastAsia="仿宋_GB2312" w:hAnsi="Times New Roman" w:cs="DengXian-Regular" w:hint="eastAsia"/>
          <w:sz w:val="32"/>
          <w:szCs w:val="32"/>
        </w:rPr>
        <w:t>99%,</w:t>
      </w:r>
      <w:r>
        <w:rPr>
          <w:rFonts w:ascii="仿宋_GB2312" w:eastAsia="仿宋_GB2312" w:hAnsi="Times New Roman" w:cs="DengXian-Regular" w:hint="eastAsia"/>
          <w:sz w:val="32"/>
          <w:szCs w:val="32"/>
        </w:rPr>
        <w:t>比年初预算减少</w:t>
      </w:r>
      <w:r>
        <w:rPr>
          <w:rFonts w:ascii="仿宋_GB2312" w:eastAsia="仿宋_GB2312" w:hAnsi="Times New Roman" w:cs="DengXian-Regular" w:hint="eastAsia"/>
          <w:sz w:val="32"/>
          <w:szCs w:val="32"/>
        </w:rPr>
        <w:t>15.9</w:t>
      </w:r>
      <w:r>
        <w:rPr>
          <w:rFonts w:ascii="仿宋_GB2312" w:eastAsia="仿宋_GB2312" w:hAnsi="Times New Roman" w:cs="DengXian-Regular" w:hint="eastAsia"/>
          <w:sz w:val="32"/>
          <w:szCs w:val="32"/>
        </w:rPr>
        <w:t>万元，决算数小于预算数主要原因是因疫情收入减少；本年支出</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万元，完成年初预算的</w:t>
      </w:r>
      <w:r>
        <w:rPr>
          <w:rFonts w:ascii="仿宋_GB2312" w:eastAsia="仿宋_GB2312" w:hAnsi="Times New Roman" w:cs="DengXian-Regular" w:hint="eastAsia"/>
          <w:sz w:val="32"/>
          <w:szCs w:val="32"/>
        </w:rPr>
        <w:t>99%,</w:t>
      </w:r>
      <w:r>
        <w:rPr>
          <w:rFonts w:ascii="仿宋_GB2312" w:eastAsia="仿宋_GB2312" w:hAnsi="Times New Roman" w:cs="DengXian-Regular" w:hint="eastAsia"/>
          <w:sz w:val="32"/>
          <w:szCs w:val="32"/>
        </w:rPr>
        <w:t>比年初预算减少</w:t>
      </w:r>
      <w:r>
        <w:rPr>
          <w:rFonts w:ascii="仿宋_GB2312" w:eastAsia="仿宋_GB2312" w:hAnsi="Times New Roman" w:cs="DengXian-Regular" w:hint="eastAsia"/>
          <w:sz w:val="32"/>
          <w:szCs w:val="32"/>
        </w:rPr>
        <w:t>15.9</w:t>
      </w:r>
      <w:r>
        <w:rPr>
          <w:rFonts w:ascii="仿宋_GB2312" w:eastAsia="仿宋_GB2312" w:hAnsi="Times New Roman" w:cs="DengXian-Regular" w:hint="eastAsia"/>
          <w:sz w:val="32"/>
          <w:szCs w:val="32"/>
        </w:rPr>
        <w:t>万元，决算数小于预算数主要原因是主要是因疫情收入减少。具体情况如下：</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w:t>
      </w:r>
      <w:r>
        <w:rPr>
          <w:rFonts w:ascii="仿宋_GB2312" w:eastAsia="仿宋_GB2312" w:hAnsi="Times New Roman" w:cs="DengXian-Regular" w:hint="eastAsia"/>
          <w:sz w:val="32"/>
          <w:szCs w:val="32"/>
        </w:rPr>
        <w:t>一般公共预算财政拨款本年收入完成年初预算</w:t>
      </w:r>
      <w:r>
        <w:rPr>
          <w:rFonts w:ascii="仿宋_GB2312" w:eastAsia="仿宋_GB2312" w:hAnsi="Times New Roman" w:cs="DengXian-Regular" w:hint="eastAsia"/>
          <w:sz w:val="32"/>
          <w:szCs w:val="32"/>
        </w:rPr>
        <w:t>99%</w:t>
      </w:r>
      <w:r>
        <w:rPr>
          <w:rFonts w:ascii="仿宋_GB2312" w:eastAsia="仿宋_GB2312" w:hAnsi="Times New Roman" w:cs="DengXian-Regular" w:hint="eastAsia"/>
          <w:sz w:val="32"/>
          <w:szCs w:val="32"/>
        </w:rPr>
        <w:t>，比年初预算减少</w:t>
      </w:r>
      <w:r>
        <w:rPr>
          <w:rFonts w:ascii="仿宋_GB2312" w:eastAsia="仿宋_GB2312" w:hAnsi="Times New Roman" w:cs="DengXian-Regular" w:hint="eastAsia"/>
          <w:sz w:val="32"/>
          <w:szCs w:val="32"/>
        </w:rPr>
        <w:t>15.9</w:t>
      </w:r>
      <w:r>
        <w:rPr>
          <w:rFonts w:ascii="仿宋_GB2312" w:eastAsia="仿宋_GB2312" w:hAnsi="Times New Roman" w:cs="DengXian-Regular" w:hint="eastAsia"/>
          <w:sz w:val="32"/>
          <w:szCs w:val="32"/>
        </w:rPr>
        <w:t>万元，主要是因疫情收入减少；支出完成年初预算</w:t>
      </w:r>
      <w:r>
        <w:rPr>
          <w:rFonts w:ascii="仿宋_GB2312" w:eastAsia="仿宋_GB2312" w:hAnsi="Times New Roman" w:cs="DengXian-Regular" w:hint="eastAsia"/>
          <w:sz w:val="32"/>
          <w:szCs w:val="32"/>
        </w:rPr>
        <w:t>99%</w:t>
      </w:r>
      <w:r>
        <w:rPr>
          <w:rFonts w:ascii="仿宋_GB2312" w:eastAsia="仿宋_GB2312" w:hAnsi="Times New Roman" w:cs="DengXian-Regular" w:hint="eastAsia"/>
          <w:sz w:val="32"/>
          <w:szCs w:val="32"/>
        </w:rPr>
        <w:t>，比年初预算减少</w:t>
      </w:r>
      <w:r>
        <w:rPr>
          <w:rFonts w:ascii="仿宋_GB2312" w:eastAsia="仿宋_GB2312" w:hAnsi="Times New Roman" w:cs="DengXian-Regular" w:hint="eastAsia"/>
          <w:sz w:val="32"/>
          <w:szCs w:val="32"/>
        </w:rPr>
        <w:t>15.9</w:t>
      </w:r>
      <w:r>
        <w:rPr>
          <w:rFonts w:ascii="仿宋_GB2312" w:eastAsia="仿宋_GB2312" w:hAnsi="Times New Roman" w:cs="DengXian-Regular" w:hint="eastAsia"/>
          <w:sz w:val="32"/>
          <w:szCs w:val="32"/>
        </w:rPr>
        <w:t>万元，主要是因疫情收入减少。</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w:t>
      </w:r>
      <w:r>
        <w:rPr>
          <w:rFonts w:ascii="仿宋_GB2312" w:eastAsia="仿宋_GB2312" w:hAnsi="Times New Roman" w:cs="DengXian-Regular" w:hint="eastAsia"/>
          <w:sz w:val="32"/>
          <w:szCs w:val="32"/>
        </w:rPr>
        <w:t>政府性基金预算财政拨款本年收入完成年初预算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bookmarkStart w:id="1" w:name="_Hlk117752860"/>
      <w:r>
        <w:rPr>
          <w:rFonts w:ascii="仿宋_GB2312" w:eastAsia="仿宋_GB2312" w:hAnsi="Times New Roman" w:cs="DengXian-Regular" w:hint="eastAsia"/>
          <w:sz w:val="32"/>
          <w:szCs w:val="32"/>
        </w:rPr>
        <w:t>与年</w:t>
      </w:r>
      <w:r>
        <w:rPr>
          <w:rFonts w:ascii="仿宋_GB2312" w:eastAsia="仿宋_GB2312" w:hAnsi="Times New Roman" w:cs="DengXian-Regular" w:hint="eastAsia"/>
          <w:sz w:val="32"/>
          <w:szCs w:val="32"/>
        </w:rPr>
        <w:t>初数持平</w:t>
      </w:r>
      <w:bookmarkEnd w:id="1"/>
      <w:r>
        <w:rPr>
          <w:rFonts w:ascii="仿宋_GB2312" w:eastAsia="仿宋_GB2312" w:hAnsi="Times New Roman" w:cs="DengXian-Regular" w:hint="eastAsia"/>
          <w:sz w:val="32"/>
          <w:szCs w:val="32"/>
        </w:rPr>
        <w:t>，主要是无政府性基金；支出完成年初预算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，与年初数持平，主要是无政府性基金。</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lastRenderedPageBreak/>
        <w:t>3.</w:t>
      </w:r>
      <w:r>
        <w:rPr>
          <w:rFonts w:ascii="仿宋_GB2312" w:eastAsia="仿宋_GB2312" w:hAnsi="Times New Roman" w:cs="DengXian-Regular" w:hint="eastAsia"/>
          <w:sz w:val="32"/>
          <w:szCs w:val="32"/>
        </w:rPr>
        <w:t>国有资本经营预算财政拨款本年收入完成年初预算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，与年初数持平，主要是无国有资本经营；支出完成年初预算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，与年初数持平，主要是无国有资本经营。</w:t>
      </w: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A918A2">
      <w:pPr>
        <w:adjustRightInd w:val="0"/>
        <w:snapToGrid w:val="0"/>
        <w:spacing w:line="580" w:lineRule="exact"/>
        <w:ind w:firstLineChars="200" w:firstLine="420"/>
        <w:rPr>
          <w:rFonts w:ascii="仿宋_GB2312" w:eastAsia="仿宋_GB2312" w:hAnsi="Times New Roman" w:cs="DengXian-Regular"/>
          <w:sz w:val="32"/>
          <w:szCs w:val="32"/>
        </w:rPr>
      </w:pPr>
      <w:r>
        <w:rPr>
          <w:noProof/>
        </w:rPr>
        <w:drawing>
          <wp:anchor distT="0" distB="0" distL="114300" distR="114300" simplePos="0" relativeHeight="251656704" behindDoc="0" locked="0" layoutInCell="1" allowOverlap="1">
            <wp:simplePos x="0" y="0"/>
            <wp:positionH relativeFrom="column">
              <wp:posOffset>417195</wp:posOffset>
            </wp:positionH>
            <wp:positionV relativeFrom="paragraph">
              <wp:posOffset>10160</wp:posOffset>
            </wp:positionV>
            <wp:extent cx="4524375" cy="2743200"/>
            <wp:effectExtent l="0" t="0" r="9525" b="0"/>
            <wp:wrapNone/>
            <wp:docPr id="18"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anchor>
        </w:drawing>
      </w: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A918A2">
      <w:pPr>
        <w:adjustRightInd w:val="0"/>
        <w:snapToGrid w:val="0"/>
        <w:spacing w:line="580" w:lineRule="exact"/>
        <w:ind w:firstLineChars="200" w:firstLine="420"/>
        <w:rPr>
          <w:rFonts w:ascii="仿宋_GB2312" w:eastAsia="仿宋_GB2312" w:hAnsi="Times New Roman" w:cs="DengXian-Regular"/>
          <w:sz w:val="32"/>
          <w:szCs w:val="32"/>
        </w:rPr>
      </w:pPr>
      <w:r>
        <w:rPr>
          <w:noProof/>
        </w:rPr>
        <w:drawing>
          <wp:inline distT="0" distB="0" distL="0" distR="0">
            <wp:extent cx="4524375" cy="2743200"/>
            <wp:effectExtent l="0" t="0" r="9525"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A918A2">
      <w:pPr>
        <w:numPr>
          <w:ilvl w:val="0"/>
          <w:numId w:val="1"/>
        </w:numPr>
        <w:adjustRightInd w:val="0"/>
        <w:snapToGrid w:val="0"/>
        <w:spacing w:line="580" w:lineRule="exact"/>
        <w:ind w:leftChars="200" w:left="42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财政拨款支出决算结构情况。</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 xml:space="preserve">2021 </w:t>
      </w:r>
      <w:r>
        <w:rPr>
          <w:rFonts w:ascii="仿宋_GB2312" w:eastAsia="仿宋_GB2312" w:hAnsi="Times New Roman" w:cs="DengXian-Regular" w:hint="eastAsia"/>
          <w:sz w:val="32"/>
          <w:szCs w:val="32"/>
        </w:rPr>
        <w:t>年度财政拨款支出</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万元，主要用于以下方面</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工资福利支出</w:t>
      </w:r>
      <w:r>
        <w:rPr>
          <w:rFonts w:ascii="仿宋_GB2312" w:eastAsia="仿宋_GB2312" w:hAnsi="Times New Roman" w:cs="DengXian-Regular" w:hint="eastAsia"/>
          <w:sz w:val="32"/>
          <w:szCs w:val="32"/>
        </w:rPr>
        <w:t>877.4</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79.5%</w:t>
      </w:r>
      <w:r>
        <w:rPr>
          <w:rFonts w:ascii="仿宋_GB2312" w:eastAsia="仿宋_GB2312" w:hAnsi="Times New Roman" w:cs="DengXian-Regular" w:hint="eastAsia"/>
          <w:sz w:val="32"/>
          <w:szCs w:val="32"/>
        </w:rPr>
        <w:t>；商品和服务支出</w:t>
      </w:r>
      <w:r>
        <w:rPr>
          <w:rFonts w:ascii="仿宋_GB2312" w:eastAsia="仿宋_GB2312" w:hAnsi="Times New Roman" w:cs="DengXian-Regular" w:hint="eastAsia"/>
          <w:sz w:val="32"/>
          <w:szCs w:val="32"/>
        </w:rPr>
        <w:t>215.5</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19.5%</w:t>
      </w:r>
      <w:r>
        <w:rPr>
          <w:rFonts w:ascii="仿宋_GB2312" w:eastAsia="仿宋_GB2312" w:hAnsi="Times New Roman" w:cs="DengXian-Regular" w:hint="eastAsia"/>
          <w:sz w:val="32"/>
          <w:szCs w:val="32"/>
        </w:rPr>
        <w:t>；对个人和家庭的补助</w:t>
      </w:r>
      <w:r>
        <w:rPr>
          <w:rFonts w:ascii="仿宋_GB2312" w:eastAsia="仿宋_GB2312" w:hAnsi="Times New Roman" w:cs="DengXian-Regular" w:hint="eastAsia"/>
          <w:sz w:val="32"/>
          <w:szCs w:val="32"/>
        </w:rPr>
        <w:t>10.5</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1%</w:t>
      </w:r>
      <w:r>
        <w:rPr>
          <w:rFonts w:ascii="仿宋_GB2312" w:eastAsia="仿宋_GB2312" w:hAnsi="Times New Roman" w:cs="DengXian-Regular" w:hint="eastAsia"/>
          <w:sz w:val="32"/>
          <w:szCs w:val="32"/>
        </w:rPr>
        <w:t>。</w:t>
      </w:r>
    </w:p>
    <w:p w:rsidR="002E7545" w:rsidRDefault="002E7545">
      <w:pPr>
        <w:adjustRightInd w:val="0"/>
        <w:snapToGrid w:val="0"/>
        <w:spacing w:line="580" w:lineRule="exact"/>
        <w:ind w:firstLineChars="200" w:firstLine="640"/>
        <w:rPr>
          <w:rFonts w:ascii="仿宋_GB2312" w:eastAsia="仿宋_GB2312" w:hAnsi="Times New Roman" w:cs="DengXian-Regular"/>
          <w:sz w:val="32"/>
          <w:szCs w:val="32"/>
        </w:rPr>
      </w:pPr>
    </w:p>
    <w:p w:rsidR="002E7545" w:rsidRDefault="00A918A2">
      <w:pPr>
        <w:adjustRightInd w:val="0"/>
        <w:snapToGrid w:val="0"/>
        <w:spacing w:line="580" w:lineRule="exact"/>
        <w:ind w:leftChars="200" w:left="420"/>
        <w:rPr>
          <w:rFonts w:ascii="楷体_GB2312" w:eastAsia="楷体_GB2312" w:hAnsi="Times New Roman" w:cs="DengXian-Bold"/>
          <w:b/>
          <w:bCs/>
          <w:sz w:val="32"/>
          <w:szCs w:val="32"/>
        </w:rPr>
      </w:pPr>
      <w:r>
        <w:rPr>
          <w:noProof/>
        </w:rPr>
        <w:drawing>
          <wp:anchor distT="0" distB="0" distL="114300" distR="114300" simplePos="0" relativeHeight="251659776" behindDoc="0" locked="0" layoutInCell="1" allowOverlap="1">
            <wp:simplePos x="0" y="0"/>
            <wp:positionH relativeFrom="column">
              <wp:posOffset>514985</wp:posOffset>
            </wp:positionH>
            <wp:positionV relativeFrom="paragraph">
              <wp:posOffset>-3175</wp:posOffset>
            </wp:positionV>
            <wp:extent cx="4572000" cy="2743200"/>
            <wp:effectExtent l="0" t="0" r="0" b="0"/>
            <wp:wrapNone/>
            <wp:docPr id="21"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p>
    <w:p w:rsidR="002E7545" w:rsidRDefault="00A918A2">
      <w:pPr>
        <w:adjustRightInd w:val="0"/>
        <w:snapToGrid w:val="0"/>
        <w:spacing w:line="580" w:lineRule="exact"/>
        <w:ind w:leftChars="200" w:left="420"/>
        <w:rPr>
          <w:rFonts w:ascii="楷体_GB2312" w:eastAsia="楷体_GB2312" w:hAnsi="Times New Roman" w:cs="DengXian-Bold"/>
          <w:b/>
          <w:bCs/>
          <w:sz w:val="32"/>
          <w:szCs w:val="32"/>
        </w:rPr>
      </w:pPr>
      <w:r>
        <w:rPr>
          <w:noProof/>
        </w:rPr>
        <w:drawing>
          <wp:inline distT="0" distB="0" distL="0" distR="0">
            <wp:extent cx="4572000" cy="2743200"/>
            <wp:effectExtent l="0" t="0" r="0" b="0"/>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2E7545" w:rsidRDefault="002E7545">
      <w:pPr>
        <w:adjustRightInd w:val="0"/>
        <w:snapToGrid w:val="0"/>
        <w:spacing w:line="580" w:lineRule="exact"/>
        <w:ind w:leftChars="200" w:left="420"/>
        <w:rPr>
          <w:rFonts w:ascii="楷体_GB2312" w:eastAsia="楷体_GB2312" w:hAnsi="Times New Roman" w:cs="DengXian-Bold"/>
          <w:b/>
          <w:bCs/>
          <w:sz w:val="32"/>
          <w:szCs w:val="32"/>
        </w:rPr>
      </w:pPr>
    </w:p>
    <w:p w:rsidR="002E7545" w:rsidRDefault="002E7545">
      <w:pPr>
        <w:adjustRightInd w:val="0"/>
        <w:snapToGrid w:val="0"/>
        <w:spacing w:line="580" w:lineRule="exact"/>
        <w:rPr>
          <w:rFonts w:ascii="楷体_GB2312" w:eastAsia="楷体_GB2312" w:hAnsi="Times New Roman" w:cs="DengXian-Bold"/>
          <w:b/>
          <w:bCs/>
          <w:sz w:val="32"/>
          <w:szCs w:val="32"/>
        </w:rPr>
      </w:pPr>
    </w:p>
    <w:p w:rsidR="002E7545" w:rsidRDefault="00A918A2">
      <w:pPr>
        <w:adjustRightInd w:val="0"/>
        <w:snapToGrid w:val="0"/>
        <w:spacing w:line="580" w:lineRule="exact"/>
        <w:ind w:leftChars="200" w:left="42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lastRenderedPageBreak/>
        <w:t>（四）一般公共预算基本支出决算情况说明</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年度财政拨款基本支出</w:t>
      </w:r>
      <w:r>
        <w:rPr>
          <w:rFonts w:ascii="仿宋_GB2312" w:eastAsia="仿宋_GB2312" w:hAnsi="Times New Roman" w:cs="DengXian-Regular" w:hint="eastAsia"/>
          <w:sz w:val="32"/>
          <w:szCs w:val="32"/>
        </w:rPr>
        <w:t>1103.4</w:t>
      </w:r>
      <w:r>
        <w:rPr>
          <w:rFonts w:ascii="仿宋_GB2312" w:eastAsia="仿宋_GB2312" w:hAnsi="Times New Roman" w:cs="DengXian-Regular" w:hint="eastAsia"/>
          <w:sz w:val="32"/>
          <w:szCs w:val="32"/>
        </w:rPr>
        <w:t>万元，其中：</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人员经费</w:t>
      </w:r>
      <w:r>
        <w:rPr>
          <w:rFonts w:ascii="仿宋_GB2312" w:eastAsia="仿宋_GB2312" w:hAnsi="Times New Roman" w:cs="DengXian-Regular" w:hint="eastAsia"/>
          <w:sz w:val="32"/>
          <w:szCs w:val="32"/>
        </w:rPr>
        <w:t xml:space="preserve"> 877.4</w:t>
      </w:r>
      <w:r>
        <w:rPr>
          <w:rFonts w:ascii="仿宋_GB2312" w:eastAsia="仿宋_GB2312" w:hAnsi="Times New Roman" w:cs="DengXian-Regular" w:hint="eastAsia"/>
          <w:sz w:val="32"/>
          <w:szCs w:val="32"/>
        </w:rPr>
        <w:t>万元，主要包括基本工资、津贴补贴、奖金、绩效工资、机关事业单位基本养老保险缴费、职业年金缴费、职工基本医疗保险缴费、公务员医疗补助缴费、住房公积金、医疗费、其他社会保障缴费、其他工资福利支出、</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对个人和家庭的补助支出</w:t>
      </w:r>
      <w:r>
        <w:rPr>
          <w:rFonts w:ascii="仿宋_GB2312" w:eastAsia="仿宋_GB2312" w:hAnsi="Times New Roman" w:cs="DengXian-Regular" w:hint="eastAsia"/>
          <w:sz w:val="32"/>
          <w:szCs w:val="32"/>
        </w:rPr>
        <w:t>10.5</w:t>
      </w:r>
      <w:r>
        <w:rPr>
          <w:rFonts w:ascii="仿宋_GB2312" w:eastAsia="仿宋_GB2312" w:hAnsi="Times New Roman" w:cs="DengXian-Regular" w:hint="eastAsia"/>
          <w:sz w:val="32"/>
          <w:szCs w:val="32"/>
        </w:rPr>
        <w:t>万元，主要用于校内资助和遗属人员生活补助。</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公用经费</w:t>
      </w:r>
      <w:r>
        <w:rPr>
          <w:rFonts w:ascii="仿宋_GB2312" w:eastAsia="仿宋_GB2312" w:hAnsi="Times New Roman" w:cs="DengXian-Regular" w:hint="eastAsia"/>
          <w:sz w:val="32"/>
          <w:szCs w:val="32"/>
        </w:rPr>
        <w:t xml:space="preserve"> 215.5</w:t>
      </w:r>
      <w:r>
        <w:rPr>
          <w:rFonts w:ascii="仿宋_GB2312" w:eastAsia="仿宋_GB2312" w:hAnsi="Times New Roman" w:cs="DengXian-Regular" w:hint="eastAsia"/>
          <w:sz w:val="32"/>
          <w:szCs w:val="32"/>
        </w:rPr>
        <w:t>万元，主要包括办公费、印刷费、水费、电费、邮电费、取暖费、物业管理费、差旅费、维修（护）费、培训费、专用材料费</w:t>
      </w:r>
      <w:r>
        <w:rPr>
          <w:rFonts w:ascii="仿宋_GB2312" w:eastAsia="仿宋_GB2312" w:hAnsi="Times New Roman" w:cs="DengXian-Regular" w:hint="eastAsia"/>
          <w:sz w:val="32"/>
          <w:szCs w:val="32"/>
        </w:rPr>
        <w:t>、劳务费、工会经费、福利费、其他交通费用、其他商品和服务支出、办公设备购置、专用设备购置、信息网络及软件购置更新、其他资本性支出。</w:t>
      </w:r>
    </w:p>
    <w:p w:rsidR="002E7545" w:rsidRDefault="00A918A2">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五、一般公共预算“三公”</w:t>
      </w:r>
      <w:r>
        <w:rPr>
          <w:rFonts w:ascii="黑体" w:eastAsia="黑体" w:hAnsi="Calibri" w:cs="Times New Roman" w:hint="eastAsia"/>
          <w:sz w:val="32"/>
          <w:szCs w:val="32"/>
        </w:rPr>
        <w:t xml:space="preserve"> </w:t>
      </w:r>
      <w:r>
        <w:rPr>
          <w:rFonts w:ascii="黑体" w:eastAsia="黑体" w:hAnsi="Calibri" w:cs="Times New Roman" w:hint="eastAsia"/>
          <w:sz w:val="32"/>
          <w:szCs w:val="32"/>
        </w:rPr>
        <w:t>经费支出决算情况说明</w:t>
      </w:r>
    </w:p>
    <w:p w:rsidR="002E7545" w:rsidRDefault="00A918A2">
      <w:pPr>
        <w:adjustRightInd w:val="0"/>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（一）“三公”经费财政拨款支出决算总体情况说明</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年度“三公”经费财政拨款支出预算为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万元，支出决算为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万元，完成预算的</w:t>
      </w:r>
      <w:r>
        <w:rPr>
          <w:rFonts w:ascii="仿宋_GB2312" w:eastAsia="仿宋_GB2312" w:hAnsi="Times New Roman" w:cs="DengXian-Regular" w:hint="eastAsia"/>
          <w:sz w:val="32"/>
          <w:szCs w:val="32"/>
        </w:rPr>
        <w:t>0%,</w:t>
      </w:r>
      <w:bookmarkStart w:id="2" w:name="_Hlk117752985"/>
      <w:r>
        <w:rPr>
          <w:rFonts w:ascii="仿宋_GB2312" w:eastAsia="仿宋_GB2312" w:hAnsi="Times New Roman" w:cs="DengXian-Regular" w:hint="eastAsia"/>
          <w:sz w:val="32"/>
          <w:szCs w:val="32"/>
        </w:rPr>
        <w:t>与预算持平</w:t>
      </w:r>
      <w:bookmarkEnd w:id="2"/>
      <w:r>
        <w:rPr>
          <w:rFonts w:ascii="仿宋_GB2312" w:eastAsia="仿宋_GB2312" w:hAnsi="Times New Roman" w:cs="DengXian-Regular" w:hint="eastAsia"/>
          <w:sz w:val="32"/>
          <w:szCs w:val="32"/>
        </w:rPr>
        <w:t>，主要是未发生“三公”经费；较</w:t>
      </w:r>
      <w:r>
        <w:rPr>
          <w:rFonts w:ascii="仿宋_GB2312" w:eastAsia="仿宋_GB2312" w:hAnsi="Times New Roman" w:cs="DengXian-Regular" w:hint="eastAsia"/>
          <w:sz w:val="32"/>
          <w:szCs w:val="32"/>
        </w:rPr>
        <w:t>2020</w:t>
      </w:r>
      <w:r>
        <w:rPr>
          <w:rFonts w:ascii="仿宋_GB2312" w:eastAsia="仿宋_GB2312" w:hAnsi="Times New Roman" w:cs="DengXian-Regular" w:hint="eastAsia"/>
          <w:sz w:val="32"/>
          <w:szCs w:val="32"/>
        </w:rPr>
        <w:t>年度决算增加（减少）</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万元，与预算持平，主要是未发生“三公”经费。</w:t>
      </w:r>
    </w:p>
    <w:p w:rsidR="002E7545" w:rsidRDefault="00A918A2">
      <w:pPr>
        <w:adjustRightInd w:val="0"/>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（二）“三公”经费财政拨款支出决算具体情况说明</w:t>
      </w:r>
    </w:p>
    <w:p w:rsidR="002E7545" w:rsidRDefault="00A918A2">
      <w:pPr>
        <w:adjustRightInd w:val="0"/>
        <w:snapToGrid w:val="0"/>
        <w:spacing w:line="580" w:lineRule="exact"/>
        <w:ind w:firstLineChars="200" w:firstLine="643"/>
        <w:rPr>
          <w:rFonts w:ascii="仿宋_GB2312" w:eastAsia="仿宋_GB2312" w:hAnsi="Times New Roman" w:cs="DengXian-Regular"/>
          <w:sz w:val="32"/>
          <w:szCs w:val="32"/>
        </w:rPr>
      </w:pPr>
      <w:r>
        <w:rPr>
          <w:rFonts w:ascii="楷体_GB2312" w:eastAsia="楷体_GB2312" w:hAnsi="Times New Roman" w:cs="DengXian-Bold" w:hint="eastAsia"/>
          <w:b/>
          <w:bCs/>
          <w:sz w:val="32"/>
          <w:szCs w:val="32"/>
        </w:rPr>
        <w:t>1.</w:t>
      </w:r>
      <w:r>
        <w:rPr>
          <w:rFonts w:ascii="楷体_GB2312" w:eastAsia="楷体_GB2312" w:hAnsi="Times New Roman" w:cs="DengXian-Bold" w:hint="eastAsia"/>
          <w:b/>
          <w:bCs/>
          <w:sz w:val="32"/>
          <w:szCs w:val="32"/>
        </w:rPr>
        <w:t>因公出国（境）费支出情况。</w:t>
      </w:r>
      <w:r>
        <w:rPr>
          <w:rFonts w:ascii="仿宋_GB2312" w:eastAsia="仿宋_GB2312" w:hAnsi="Times New Roman" w:cs="DengXian-Regular" w:hint="eastAsia"/>
          <w:sz w:val="32"/>
          <w:szCs w:val="32"/>
        </w:rPr>
        <w:t>本单位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年度因公出国</w:t>
      </w:r>
      <w:r>
        <w:rPr>
          <w:rFonts w:ascii="仿宋_GB2312" w:eastAsia="仿宋_GB2312" w:hAnsi="Times New Roman" w:cs="DengXian-Regular" w:hint="eastAsia"/>
          <w:sz w:val="32"/>
          <w:szCs w:val="32"/>
        </w:rPr>
        <w:lastRenderedPageBreak/>
        <w:t>（境）费支出预算为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万元，支出决算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万元，完成预算的</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。其中因公出国（境）团组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个、共</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人、参加其他单位组织的因公出国（境）团组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个、无本单位组织的出国（境）团组。与预算持平</w:t>
      </w:r>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主要是未发生因公出国（境）费支出；与上年持平</w:t>
      </w:r>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主要是未发生因公出国（境）费支出。</w:t>
      </w:r>
    </w:p>
    <w:p w:rsidR="002E7545" w:rsidRDefault="00A918A2">
      <w:pPr>
        <w:adjustRightInd w:val="0"/>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2.</w:t>
      </w:r>
      <w:r>
        <w:rPr>
          <w:rFonts w:ascii="楷体_GB2312" w:eastAsia="楷体_GB2312" w:hAnsi="Times New Roman" w:cs="DengXian-Bold" w:hint="eastAsia"/>
          <w:b/>
          <w:bCs/>
          <w:sz w:val="32"/>
          <w:szCs w:val="32"/>
        </w:rPr>
        <w:t>公务用车购置及运行维护费支出情况。</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年度公务用车购置及运行维护费预算为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万元，支出决算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万元，完成预算的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。较预算减少</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w:t>
      </w:r>
      <w:r>
        <w:rPr>
          <w:rFonts w:ascii="仿宋_GB2312" w:eastAsia="仿宋_GB2312" w:hAnsi="Times New Roman" w:cs="DengXian-Regular" w:hint="eastAsia"/>
          <w:color w:val="000000"/>
          <w:sz w:val="32"/>
          <w:szCs w:val="32"/>
        </w:rPr>
        <w:t>未发生‘公务用车购置’经费支出</w:t>
      </w:r>
      <w:r>
        <w:rPr>
          <w:rFonts w:ascii="仿宋_GB2312" w:eastAsia="仿宋_GB2312" w:hAnsi="Times New Roman" w:cs="DengXian-Regular" w:hint="eastAsia"/>
          <w:sz w:val="32"/>
          <w:szCs w:val="32"/>
        </w:rPr>
        <w:t>。；较上年减少</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w:t>
      </w:r>
      <w:r>
        <w:rPr>
          <w:rFonts w:ascii="仿宋_GB2312" w:eastAsia="仿宋_GB2312" w:hAnsi="Times New Roman" w:cs="DengXian-Regular" w:hint="eastAsia"/>
          <w:sz w:val="32"/>
          <w:szCs w:val="32"/>
        </w:rPr>
        <w:t>要是</w:t>
      </w:r>
      <w:r>
        <w:rPr>
          <w:rFonts w:ascii="仿宋_GB2312" w:eastAsia="仿宋_GB2312" w:hAnsi="Times New Roman" w:cs="DengXian-Regular" w:hint="eastAsia"/>
          <w:color w:val="000000"/>
          <w:sz w:val="32"/>
          <w:szCs w:val="32"/>
        </w:rPr>
        <w:t>未发生‘公务用车购置’经费支出</w:t>
      </w:r>
      <w:r>
        <w:rPr>
          <w:rFonts w:ascii="仿宋_GB2312" w:eastAsia="仿宋_GB2312" w:hAnsi="Times New Roman" w:cs="DengXian-Regular" w:hint="eastAsia"/>
          <w:sz w:val="32"/>
          <w:szCs w:val="32"/>
        </w:rPr>
        <w:t>。</w:t>
      </w:r>
    </w:p>
    <w:p w:rsidR="002E7545" w:rsidRDefault="00A918A2">
      <w:pPr>
        <w:adjustRightInd w:val="0"/>
        <w:snapToGrid w:val="0"/>
        <w:spacing w:line="580" w:lineRule="exact"/>
        <w:ind w:firstLineChars="200" w:firstLine="643"/>
        <w:rPr>
          <w:rFonts w:ascii="仿宋_GB2312" w:eastAsia="仿宋_GB2312" w:hAnsi="Times New Roman" w:cs="DengXian-Regular"/>
          <w:sz w:val="32"/>
          <w:szCs w:val="32"/>
        </w:rPr>
      </w:pPr>
      <w:r>
        <w:rPr>
          <w:rFonts w:ascii="仿宋_GB2312" w:eastAsia="仿宋_GB2312" w:hAnsi="Times New Roman" w:cs="DengXian-Regular" w:hint="eastAsia"/>
          <w:b/>
          <w:sz w:val="32"/>
          <w:szCs w:val="32"/>
        </w:rPr>
        <w:t>公务用车购置费支出</w:t>
      </w:r>
      <w:r>
        <w:rPr>
          <w:rFonts w:ascii="楷体_GB2312" w:eastAsia="楷体_GB2312" w:hAnsi="Times New Roman" w:cs="DengXian-Bold" w:hint="eastAsia"/>
          <w:b/>
          <w:bCs/>
          <w:sz w:val="32"/>
          <w:szCs w:val="32"/>
        </w:rPr>
        <w:t>0</w:t>
      </w:r>
      <w:r>
        <w:rPr>
          <w:rFonts w:ascii="楷体_GB2312" w:eastAsia="楷体_GB2312" w:hAnsi="Times New Roman" w:cs="DengXian-Bold" w:hint="eastAsia"/>
          <w:b/>
          <w:bCs/>
          <w:sz w:val="32"/>
          <w:szCs w:val="32"/>
        </w:rPr>
        <w:t>万元</w:t>
      </w:r>
      <w:r>
        <w:rPr>
          <w:rFonts w:ascii="仿宋_GB2312" w:eastAsia="仿宋_GB2312" w:hAnsi="Times New Roman" w:cs="DengXian-Regular" w:hint="eastAsia"/>
          <w:b/>
          <w:sz w:val="32"/>
          <w:szCs w:val="32"/>
        </w:rPr>
        <w:t>：</w:t>
      </w:r>
      <w:r>
        <w:rPr>
          <w:rFonts w:ascii="仿宋_GB2312" w:eastAsia="仿宋_GB2312" w:hAnsi="Times New Roman" w:cs="DengXian-Regular" w:hint="eastAsia"/>
          <w:sz w:val="32"/>
          <w:szCs w:val="32"/>
        </w:rPr>
        <w:t>本部门</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年度公务用车购置量</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辆，发生“公务用车购置”经费支出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万元。公务用车购置费支出较预算持平，主要是</w:t>
      </w:r>
      <w:r>
        <w:rPr>
          <w:rFonts w:ascii="仿宋_GB2312" w:eastAsia="仿宋_GB2312" w:hAnsi="Times New Roman" w:cs="DengXian-Regular" w:hint="eastAsia"/>
          <w:color w:val="000000"/>
          <w:sz w:val="32"/>
          <w:szCs w:val="32"/>
        </w:rPr>
        <w:t>未发生‘公务用车购置’经费支出</w:t>
      </w:r>
      <w:r>
        <w:rPr>
          <w:rFonts w:ascii="仿宋_GB2312" w:eastAsia="仿宋_GB2312" w:hAnsi="Times New Roman" w:cs="DengXian-Regular" w:hint="eastAsia"/>
          <w:sz w:val="32"/>
          <w:szCs w:val="32"/>
        </w:rPr>
        <w:t>；与上年持平，主要是</w:t>
      </w:r>
      <w:r>
        <w:rPr>
          <w:rFonts w:ascii="仿宋_GB2312" w:eastAsia="仿宋_GB2312" w:hAnsi="Times New Roman" w:cs="DengXian-Regular" w:hint="eastAsia"/>
          <w:color w:val="000000"/>
          <w:sz w:val="32"/>
          <w:szCs w:val="32"/>
        </w:rPr>
        <w:t>未发生‘公务用车购置’经费支出</w:t>
      </w:r>
      <w:r>
        <w:rPr>
          <w:rFonts w:ascii="仿宋_GB2312" w:eastAsia="仿宋_GB2312" w:hAnsi="Times New Roman" w:cs="DengXian-Regular" w:hint="eastAsia"/>
          <w:sz w:val="32"/>
          <w:szCs w:val="32"/>
        </w:rPr>
        <w:t>。</w:t>
      </w:r>
    </w:p>
    <w:p w:rsidR="002E7545" w:rsidRDefault="00A918A2">
      <w:pPr>
        <w:adjustRightInd w:val="0"/>
        <w:snapToGrid w:val="0"/>
        <w:spacing w:line="580" w:lineRule="exact"/>
        <w:ind w:firstLineChars="200" w:firstLine="643"/>
        <w:rPr>
          <w:rFonts w:ascii="仿宋_GB2312" w:eastAsia="仿宋_GB2312" w:hAnsi="Times New Roman" w:cs="DengXian-Regular"/>
          <w:sz w:val="32"/>
          <w:szCs w:val="32"/>
        </w:rPr>
      </w:pPr>
      <w:r>
        <w:rPr>
          <w:rFonts w:ascii="仿宋_GB2312" w:eastAsia="仿宋_GB2312" w:hAnsi="Times New Roman" w:cs="DengXian-Regular" w:hint="eastAsia"/>
          <w:b/>
          <w:sz w:val="32"/>
          <w:szCs w:val="32"/>
        </w:rPr>
        <w:t>公务用车运行维护费支出</w:t>
      </w:r>
      <w:r>
        <w:rPr>
          <w:rFonts w:ascii="仿宋_GB2312" w:eastAsia="仿宋_GB2312" w:hAnsi="Times New Roman" w:cs="DengXian-Regular" w:hint="eastAsia"/>
          <w:b/>
          <w:sz w:val="32"/>
          <w:szCs w:val="32"/>
        </w:rPr>
        <w:t>0</w:t>
      </w:r>
      <w:r>
        <w:rPr>
          <w:rFonts w:ascii="楷体_GB2312" w:eastAsia="楷体_GB2312" w:hAnsi="Times New Roman" w:cs="DengXian-Bold" w:hint="eastAsia"/>
          <w:b/>
          <w:bCs/>
          <w:sz w:val="32"/>
          <w:szCs w:val="32"/>
        </w:rPr>
        <w:t>万元</w:t>
      </w:r>
      <w:r>
        <w:rPr>
          <w:rFonts w:ascii="仿宋_GB2312" w:eastAsia="仿宋_GB2312" w:hAnsi="Times New Roman" w:cs="DengXian-Regular" w:hint="eastAsia"/>
          <w:b/>
          <w:sz w:val="32"/>
          <w:szCs w:val="32"/>
        </w:rPr>
        <w:t>：</w:t>
      </w:r>
      <w:r>
        <w:rPr>
          <w:rFonts w:ascii="仿宋_GB2312" w:eastAsia="仿宋_GB2312" w:hAnsi="Times New Roman" w:cs="DengXian-Regular" w:hint="eastAsia"/>
          <w:sz w:val="32"/>
          <w:szCs w:val="32"/>
        </w:rPr>
        <w:t>本部门</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年度单位公务用车保有量</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辆。公车运行维护费支出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万元，与预算持平</w:t>
      </w:r>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主要是</w:t>
      </w:r>
      <w:r>
        <w:rPr>
          <w:rFonts w:ascii="仿宋_GB2312" w:eastAsia="仿宋_GB2312" w:hAnsi="Times New Roman" w:cs="DengXian-Regular" w:hint="eastAsia"/>
          <w:color w:val="000000"/>
          <w:sz w:val="32"/>
          <w:szCs w:val="32"/>
        </w:rPr>
        <w:t>未发生公务用车运行维护费支出</w:t>
      </w:r>
      <w:r>
        <w:rPr>
          <w:rFonts w:ascii="仿宋_GB2312" w:eastAsia="仿宋_GB2312" w:hAnsi="Times New Roman" w:cs="DengXian-Regular" w:hint="eastAsia"/>
          <w:sz w:val="32"/>
          <w:szCs w:val="32"/>
        </w:rPr>
        <w:t>；较上年增加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w:t>
      </w:r>
      <w:r>
        <w:rPr>
          <w:rFonts w:ascii="仿宋_GB2312" w:eastAsia="仿宋_GB2312" w:hAnsi="Times New Roman" w:cs="DengXian-Regular" w:hint="eastAsia"/>
          <w:color w:val="000000"/>
          <w:sz w:val="32"/>
          <w:szCs w:val="32"/>
        </w:rPr>
        <w:t>未发生公务用车运行维护费支出</w:t>
      </w:r>
      <w:r>
        <w:rPr>
          <w:rFonts w:ascii="仿宋_GB2312" w:eastAsia="仿宋_GB2312" w:hAnsi="Times New Roman" w:cs="DengXian-Regular" w:hint="eastAsia"/>
          <w:sz w:val="32"/>
          <w:szCs w:val="32"/>
        </w:rPr>
        <w:t>。</w:t>
      </w:r>
    </w:p>
    <w:p w:rsidR="002E7545" w:rsidRDefault="00A918A2">
      <w:pPr>
        <w:adjustRightInd w:val="0"/>
        <w:snapToGrid w:val="0"/>
        <w:spacing w:line="580" w:lineRule="exact"/>
        <w:ind w:firstLineChars="200" w:firstLine="643"/>
        <w:rPr>
          <w:rFonts w:ascii="仿宋_GB2312" w:eastAsia="仿宋_GB2312" w:hAnsi="Times New Roman" w:cs="DengXian-Regular"/>
          <w:sz w:val="32"/>
          <w:szCs w:val="32"/>
        </w:rPr>
      </w:pPr>
      <w:r>
        <w:rPr>
          <w:rFonts w:ascii="楷体_GB2312" w:eastAsia="楷体_GB2312" w:hAnsi="Times New Roman" w:cs="DengXian-Bold" w:hint="eastAsia"/>
          <w:b/>
          <w:bCs/>
          <w:sz w:val="32"/>
          <w:szCs w:val="32"/>
        </w:rPr>
        <w:t>3.</w:t>
      </w:r>
      <w:r>
        <w:rPr>
          <w:rFonts w:ascii="楷体_GB2312" w:eastAsia="楷体_GB2312" w:hAnsi="Times New Roman" w:cs="DengXian-Bold" w:hint="eastAsia"/>
          <w:b/>
          <w:bCs/>
          <w:sz w:val="32"/>
          <w:szCs w:val="32"/>
        </w:rPr>
        <w:t>公务接待费支出情况。</w:t>
      </w:r>
      <w:r>
        <w:rPr>
          <w:rFonts w:ascii="仿宋_GB2312" w:eastAsia="仿宋_GB2312" w:hAnsi="Times New Roman" w:cs="DengXian-Regular" w:hint="eastAsia"/>
          <w:sz w:val="32"/>
          <w:szCs w:val="32"/>
        </w:rPr>
        <w:t>本部门</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年度公务接待费支出预算为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，支出决算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万元，完成预算的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。本年度共发生公务接待</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批次、</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人次。公务接待费支出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w:t>
      </w:r>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主要是未发生公</w:t>
      </w:r>
      <w:r>
        <w:rPr>
          <w:rFonts w:ascii="仿宋_GB2312" w:eastAsia="仿宋_GB2312" w:hAnsi="Times New Roman" w:cs="DengXian-Regular" w:hint="eastAsia"/>
          <w:sz w:val="32"/>
          <w:szCs w:val="32"/>
        </w:rPr>
        <w:lastRenderedPageBreak/>
        <w:t>务接待费；较上年度减少</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主要是未发生公务接待费。</w:t>
      </w:r>
    </w:p>
    <w:p w:rsidR="002E7545" w:rsidRDefault="00A918A2">
      <w:pPr>
        <w:adjustRightInd w:val="0"/>
        <w:snapToGrid w:val="0"/>
        <w:spacing w:line="580" w:lineRule="exact"/>
        <w:ind w:firstLineChars="200" w:firstLine="640"/>
        <w:rPr>
          <w:rFonts w:ascii="黑体" w:eastAsia="黑体" w:hAnsi="Times New Roman" w:cs="Times New Roman"/>
          <w:sz w:val="32"/>
          <w:szCs w:val="40"/>
        </w:rPr>
      </w:pPr>
      <w:r>
        <w:rPr>
          <w:rFonts w:ascii="黑体" w:eastAsia="黑体" w:hAnsi="Times New Roman" w:cs="Times New Roman" w:hint="eastAsia"/>
          <w:sz w:val="32"/>
          <w:szCs w:val="40"/>
        </w:rPr>
        <w:t>六、预算绩效情况说明</w:t>
      </w:r>
    </w:p>
    <w:p w:rsidR="002E7545" w:rsidRDefault="00A918A2">
      <w:pPr>
        <w:adjustRightInd w:val="0"/>
        <w:snapToGrid w:val="0"/>
        <w:spacing w:line="58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（一）预算绩效管理工作开展情况</w:t>
      </w:r>
    </w:p>
    <w:p w:rsidR="002E7545" w:rsidRDefault="00A918A2">
      <w:pPr>
        <w:adjustRightInd w:val="0"/>
        <w:snapToGrid w:val="0"/>
        <w:spacing w:line="58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根据预算绩效管理要求，本</w:t>
      </w:r>
      <w:r>
        <w:rPr>
          <w:rFonts w:ascii="仿宋_GB2312" w:eastAsia="仿宋_GB2312" w:hAnsi="Times New Roman" w:cs="DengXian-Regular" w:hint="eastAsia"/>
          <w:sz w:val="32"/>
          <w:szCs w:val="32"/>
        </w:rPr>
        <w:t>单位</w:t>
      </w:r>
      <w:r>
        <w:rPr>
          <w:rFonts w:ascii="仿宋_GB2312" w:eastAsia="仿宋_GB2312" w:hAnsi="仿宋_GB2312" w:cs="仿宋_GB2312" w:hint="eastAsia"/>
          <w:sz w:val="32"/>
          <w:szCs w:val="32"/>
        </w:rPr>
        <w:t>组织对</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年度一般公共预算项目支出全面开展绩效自评，一般公共预算项目支出总额的</w:t>
      </w:r>
      <w:r>
        <w:rPr>
          <w:rFonts w:ascii="仿宋_GB2312" w:eastAsia="仿宋_GB2312" w:hAnsi="仿宋_GB2312" w:cs="仿宋_GB2312" w:hint="eastAsia"/>
          <w:sz w:val="32"/>
          <w:szCs w:val="32"/>
        </w:rPr>
        <w:t>226</w:t>
      </w:r>
      <w:r>
        <w:rPr>
          <w:rFonts w:ascii="仿宋_GB2312" w:eastAsia="仿宋_GB2312" w:hAnsi="仿宋_GB2312" w:cs="仿宋_GB2312" w:hint="eastAsia"/>
          <w:sz w:val="32"/>
          <w:szCs w:val="32"/>
        </w:rPr>
        <w:t>万元。</w:t>
      </w:r>
    </w:p>
    <w:p w:rsidR="002E7545" w:rsidRDefault="00A918A2">
      <w:pPr>
        <w:adjustRightInd w:val="0"/>
        <w:snapToGrid w:val="0"/>
        <w:spacing w:line="580" w:lineRule="exact"/>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w:t>
      </w:r>
      <w:r w:rsidR="00DA2DAB">
        <w:rPr>
          <w:rFonts w:ascii="仿宋_GB2312" w:eastAsia="仿宋_GB2312" w:hAnsi="仿宋_GB2312" w:cs="仿宋_GB2312" w:hint="eastAsia"/>
          <w:b/>
          <w:bCs/>
          <w:sz w:val="32"/>
          <w:szCs w:val="32"/>
        </w:rPr>
        <w:t>单位</w:t>
      </w:r>
      <w:r>
        <w:rPr>
          <w:rFonts w:ascii="仿宋_GB2312" w:eastAsia="仿宋_GB2312" w:hAnsi="仿宋_GB2312" w:cs="仿宋_GB2312" w:hint="eastAsia"/>
          <w:b/>
          <w:bCs/>
          <w:sz w:val="32"/>
          <w:szCs w:val="32"/>
        </w:rPr>
        <w:t>决算中项目绩效自评结果</w:t>
      </w:r>
    </w:p>
    <w:p w:rsidR="002E7545" w:rsidRDefault="00A918A2">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w:t>
      </w:r>
      <w:r>
        <w:rPr>
          <w:rFonts w:ascii="仿宋_GB2312" w:eastAsia="仿宋_GB2312" w:hAnsi="Times New Roman" w:cs="DengXian-Regular" w:hint="eastAsia"/>
          <w:sz w:val="32"/>
          <w:szCs w:val="32"/>
        </w:rPr>
        <w:t>单位</w:t>
      </w:r>
      <w:r w:rsidR="00DA2DAB">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收费项目绩效自评结果。</w:t>
      </w:r>
    </w:p>
    <w:p w:rsidR="002E7545" w:rsidRDefault="00A918A2">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收费项目自评综述：根据年初设定的绩效目标，收费项目绩效自评得分为</w:t>
      </w:r>
      <w:r>
        <w:rPr>
          <w:rFonts w:ascii="仿宋_GB2312" w:eastAsia="仿宋_GB2312" w:hAnsi="仿宋_GB2312" w:cs="仿宋_GB2312"/>
          <w:sz w:val="32"/>
          <w:szCs w:val="32"/>
        </w:rPr>
        <w:t>98.9</w:t>
      </w:r>
      <w:r>
        <w:rPr>
          <w:rFonts w:ascii="仿宋_GB2312" w:eastAsia="仿宋_GB2312" w:hAnsi="仿宋_GB2312" w:cs="仿宋_GB2312" w:hint="eastAsia"/>
          <w:sz w:val="32"/>
          <w:szCs w:val="32"/>
        </w:rPr>
        <w:t>分（绩效自评表附后）。全年预算数为</w:t>
      </w:r>
      <w:r>
        <w:rPr>
          <w:rFonts w:ascii="仿宋_GB2312" w:eastAsia="仿宋_GB2312" w:hAnsi="仿宋_GB2312" w:cs="仿宋_GB2312"/>
          <w:sz w:val="32"/>
          <w:szCs w:val="32"/>
        </w:rPr>
        <w:t>131.6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131.6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131.6</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，项目绩效目标完成情况</w:t>
      </w:r>
      <w:r>
        <w:rPr>
          <w:rFonts w:ascii="仿宋_GB2312" w:eastAsia="仿宋_GB2312" w:hAnsi="仿宋_GB2312" w:cs="仿宋_GB2312" w:hint="eastAsia"/>
          <w:color w:val="000000" w:themeColor="text1"/>
          <w:sz w:val="32"/>
          <w:szCs w:val="32"/>
        </w:rPr>
        <w:t>：完成了年初设定的各项绩效目标，未发现问题。</w:t>
      </w:r>
    </w:p>
    <w:p w:rsidR="002E7545" w:rsidRDefault="002E7545">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2E7545" w:rsidRDefault="002E7545">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2E7545" w:rsidRDefault="002E7545">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2E7545" w:rsidRDefault="002E7545">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2E7545" w:rsidRDefault="002E7545">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2E7545" w:rsidRDefault="002E7545">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2E7545" w:rsidRDefault="002E7545">
      <w:pPr>
        <w:adjustRightInd w:val="0"/>
        <w:snapToGrid w:val="0"/>
        <w:spacing w:line="580" w:lineRule="exact"/>
        <w:ind w:leftChars="200" w:left="420" w:firstLineChars="100" w:firstLine="320"/>
        <w:rPr>
          <w:rFonts w:ascii="仿宋_GB2312" w:eastAsia="仿宋_GB2312" w:hAnsi="仿宋_GB2312" w:cs="仿宋_GB2312"/>
          <w:sz w:val="32"/>
          <w:szCs w:val="32"/>
        </w:rPr>
      </w:pPr>
    </w:p>
    <w:tbl>
      <w:tblPr>
        <w:tblW w:w="9556" w:type="dxa"/>
        <w:tblInd w:w="108" w:type="dxa"/>
        <w:tblLook w:val="04A0"/>
      </w:tblPr>
      <w:tblGrid>
        <w:gridCol w:w="880"/>
        <w:gridCol w:w="1080"/>
        <w:gridCol w:w="1000"/>
        <w:gridCol w:w="1280"/>
        <w:gridCol w:w="820"/>
        <w:gridCol w:w="1280"/>
        <w:gridCol w:w="1280"/>
        <w:gridCol w:w="1140"/>
        <w:gridCol w:w="760"/>
        <w:gridCol w:w="222"/>
      </w:tblGrid>
      <w:tr w:rsidR="002E7545">
        <w:trPr>
          <w:gridAfter w:val="1"/>
          <w:wAfter w:w="36" w:type="dxa"/>
          <w:trHeight w:val="570"/>
        </w:trPr>
        <w:tc>
          <w:tcPr>
            <w:tcW w:w="880" w:type="dxa"/>
            <w:tcBorders>
              <w:top w:val="nil"/>
              <w:left w:val="nil"/>
              <w:bottom w:val="nil"/>
              <w:right w:val="nil"/>
            </w:tcBorders>
            <w:shd w:val="clear" w:color="auto" w:fill="auto"/>
            <w:noWrap/>
            <w:vAlign w:val="center"/>
          </w:tcPr>
          <w:p w:rsidR="002E7545" w:rsidRDefault="00A918A2">
            <w:pPr>
              <w:widowControl/>
              <w:jc w:val="left"/>
              <w:rPr>
                <w:rFonts w:ascii="宋体" w:eastAsia="宋体" w:hAnsi="宋体" w:cs="宋体"/>
                <w:color w:val="000000"/>
                <w:kern w:val="0"/>
                <w:sz w:val="12"/>
                <w:szCs w:val="12"/>
              </w:rPr>
            </w:pPr>
            <w:r>
              <w:rPr>
                <w:rFonts w:ascii="宋体" w:eastAsia="宋体" w:hAnsi="宋体" w:cs="宋体" w:hint="eastAsia"/>
                <w:color w:val="000000"/>
                <w:kern w:val="0"/>
                <w:sz w:val="12"/>
                <w:szCs w:val="12"/>
              </w:rPr>
              <w:t>附件</w:t>
            </w:r>
            <w:r>
              <w:rPr>
                <w:rFonts w:ascii="宋体" w:eastAsia="宋体" w:hAnsi="宋体" w:cs="宋体" w:hint="eastAsia"/>
                <w:color w:val="000000"/>
                <w:kern w:val="0"/>
                <w:sz w:val="12"/>
                <w:szCs w:val="12"/>
              </w:rPr>
              <w:t>2</w:t>
            </w:r>
          </w:p>
        </w:tc>
        <w:tc>
          <w:tcPr>
            <w:tcW w:w="1080" w:type="dxa"/>
            <w:tcBorders>
              <w:top w:val="nil"/>
              <w:left w:val="nil"/>
              <w:bottom w:val="nil"/>
              <w:right w:val="nil"/>
            </w:tcBorders>
            <w:shd w:val="clear" w:color="auto" w:fill="auto"/>
            <w:noWrap/>
            <w:vAlign w:val="center"/>
          </w:tcPr>
          <w:p w:rsidR="002E7545" w:rsidRDefault="002E7545">
            <w:pPr>
              <w:widowControl/>
              <w:jc w:val="left"/>
              <w:rPr>
                <w:rFonts w:ascii="宋体" w:eastAsia="宋体" w:hAnsi="宋体" w:cs="宋体"/>
                <w:color w:val="000000"/>
                <w:kern w:val="0"/>
                <w:sz w:val="12"/>
                <w:szCs w:val="12"/>
              </w:rPr>
            </w:pPr>
          </w:p>
        </w:tc>
        <w:tc>
          <w:tcPr>
            <w:tcW w:w="100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82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14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76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gridAfter w:val="1"/>
          <w:wAfter w:w="36" w:type="dxa"/>
          <w:trHeight w:val="120"/>
        </w:trPr>
        <w:tc>
          <w:tcPr>
            <w:tcW w:w="880" w:type="dxa"/>
            <w:tcBorders>
              <w:top w:val="nil"/>
              <w:left w:val="nil"/>
              <w:bottom w:val="nil"/>
              <w:right w:val="nil"/>
            </w:tcBorders>
            <w:shd w:val="clear" w:color="auto" w:fill="auto"/>
            <w:noWrap/>
            <w:vAlign w:val="center"/>
          </w:tcPr>
          <w:p w:rsidR="002E7545" w:rsidRDefault="00A918A2">
            <w:pPr>
              <w:widowControl/>
              <w:jc w:val="left"/>
              <w:rPr>
                <w:rFonts w:ascii="宋体" w:eastAsia="宋体" w:hAnsi="宋体" w:cs="宋体"/>
                <w:color w:val="000000"/>
                <w:kern w:val="0"/>
                <w:sz w:val="12"/>
                <w:szCs w:val="12"/>
              </w:rPr>
            </w:pPr>
            <w:r>
              <w:rPr>
                <w:rFonts w:ascii="宋体" w:eastAsia="宋体" w:hAnsi="宋体" w:cs="宋体" w:hint="eastAsia"/>
                <w:color w:val="000000"/>
                <w:kern w:val="0"/>
                <w:sz w:val="12"/>
                <w:szCs w:val="12"/>
              </w:rPr>
              <w:lastRenderedPageBreak/>
              <w:t>附件</w:t>
            </w:r>
            <w:r>
              <w:rPr>
                <w:rFonts w:ascii="宋体" w:eastAsia="宋体" w:hAnsi="宋体" w:cs="宋体" w:hint="eastAsia"/>
                <w:color w:val="000000"/>
                <w:kern w:val="0"/>
                <w:sz w:val="12"/>
                <w:szCs w:val="12"/>
              </w:rPr>
              <w:t>2</w:t>
            </w:r>
          </w:p>
        </w:tc>
        <w:tc>
          <w:tcPr>
            <w:tcW w:w="1080" w:type="dxa"/>
            <w:tcBorders>
              <w:top w:val="nil"/>
              <w:left w:val="nil"/>
              <w:bottom w:val="nil"/>
              <w:right w:val="nil"/>
            </w:tcBorders>
            <w:shd w:val="clear" w:color="auto" w:fill="auto"/>
            <w:noWrap/>
            <w:vAlign w:val="center"/>
          </w:tcPr>
          <w:p w:rsidR="002E7545" w:rsidRDefault="002E7545">
            <w:pPr>
              <w:widowControl/>
              <w:jc w:val="left"/>
              <w:rPr>
                <w:rFonts w:ascii="宋体" w:eastAsia="宋体" w:hAnsi="宋体" w:cs="宋体"/>
                <w:color w:val="000000"/>
                <w:kern w:val="0"/>
                <w:sz w:val="12"/>
                <w:szCs w:val="12"/>
              </w:rPr>
            </w:pPr>
          </w:p>
        </w:tc>
        <w:tc>
          <w:tcPr>
            <w:tcW w:w="100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82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14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76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gridAfter w:val="1"/>
          <w:wAfter w:w="36" w:type="dxa"/>
          <w:trHeight w:val="330"/>
        </w:trPr>
        <w:tc>
          <w:tcPr>
            <w:tcW w:w="9520" w:type="dxa"/>
            <w:gridSpan w:val="9"/>
            <w:tcBorders>
              <w:top w:val="nil"/>
              <w:left w:val="nil"/>
              <w:bottom w:val="nil"/>
              <w:right w:val="nil"/>
            </w:tcBorders>
            <w:shd w:val="clear" w:color="auto" w:fill="auto"/>
            <w:noWrap/>
            <w:vAlign w:val="center"/>
          </w:tcPr>
          <w:p w:rsidR="002E7545" w:rsidRDefault="00DA2DAB">
            <w:pPr>
              <w:widowControl/>
              <w:jc w:val="center"/>
              <w:rPr>
                <w:rFonts w:ascii="方正小标宋_GBK" w:eastAsia="方正小标宋_GBK" w:hAnsi="宋体" w:cs="宋体"/>
                <w:color w:val="000000"/>
                <w:kern w:val="0"/>
                <w:sz w:val="32"/>
                <w:szCs w:val="32"/>
              </w:rPr>
            </w:pPr>
            <w:r>
              <w:rPr>
                <w:rFonts w:ascii="方正小标宋_GBK" w:eastAsia="方正小标宋_GBK" w:hAnsi="宋体" w:cs="宋体" w:hint="eastAsia"/>
                <w:color w:val="000000"/>
                <w:kern w:val="0"/>
                <w:sz w:val="32"/>
                <w:szCs w:val="32"/>
              </w:rPr>
              <w:t>藁城区通安幼儿园</w:t>
            </w:r>
            <w:r w:rsidR="00A918A2">
              <w:rPr>
                <w:rFonts w:ascii="方正小标宋_GBK" w:eastAsia="方正小标宋_GBK" w:hAnsi="宋体" w:cs="宋体" w:hint="eastAsia"/>
                <w:color w:val="000000"/>
                <w:kern w:val="0"/>
                <w:sz w:val="32"/>
                <w:szCs w:val="32"/>
              </w:rPr>
              <w:t>预算项目绩效自评表（</w:t>
            </w:r>
            <w:r w:rsidR="00A918A2">
              <w:rPr>
                <w:rFonts w:ascii="方正小标宋_GBK" w:eastAsia="方正小标宋_GBK" w:hAnsi="宋体" w:cs="宋体" w:hint="eastAsia"/>
                <w:color w:val="000000"/>
                <w:kern w:val="0"/>
                <w:sz w:val="32"/>
                <w:szCs w:val="32"/>
              </w:rPr>
              <w:t>2021</w:t>
            </w:r>
            <w:r w:rsidR="00A918A2">
              <w:rPr>
                <w:rFonts w:ascii="方正小标宋_GBK" w:eastAsia="方正小标宋_GBK" w:hAnsi="宋体" w:cs="宋体" w:hint="eastAsia"/>
                <w:color w:val="000000"/>
                <w:kern w:val="0"/>
                <w:sz w:val="32"/>
                <w:szCs w:val="32"/>
              </w:rPr>
              <w:t>年度）</w:t>
            </w:r>
          </w:p>
        </w:tc>
      </w:tr>
      <w:tr w:rsidR="002E7545">
        <w:trPr>
          <w:gridAfter w:val="1"/>
          <w:wAfter w:w="36" w:type="dxa"/>
          <w:trHeight w:val="270"/>
        </w:trPr>
        <w:tc>
          <w:tcPr>
            <w:tcW w:w="2960" w:type="dxa"/>
            <w:gridSpan w:val="3"/>
            <w:tcBorders>
              <w:top w:val="nil"/>
              <w:left w:val="nil"/>
              <w:bottom w:val="nil"/>
              <w:right w:val="nil"/>
            </w:tcBorders>
            <w:shd w:val="clear" w:color="auto" w:fill="auto"/>
            <w:noWrap/>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填报单位：石家庄市藁城区通安幼儿园</w:t>
            </w:r>
          </w:p>
        </w:tc>
        <w:tc>
          <w:tcPr>
            <w:tcW w:w="1280" w:type="dxa"/>
            <w:tcBorders>
              <w:top w:val="nil"/>
              <w:left w:val="nil"/>
              <w:bottom w:val="nil"/>
              <w:right w:val="nil"/>
            </w:tcBorders>
            <w:shd w:val="clear" w:color="auto" w:fill="auto"/>
            <w:noWrap/>
            <w:vAlign w:val="center"/>
          </w:tcPr>
          <w:p w:rsidR="002E7545" w:rsidRDefault="002E7545">
            <w:pPr>
              <w:widowControl/>
              <w:jc w:val="left"/>
              <w:rPr>
                <w:rFonts w:ascii="宋体" w:eastAsia="宋体" w:hAnsi="宋体" w:cs="宋体"/>
                <w:color w:val="000000"/>
                <w:kern w:val="0"/>
                <w:sz w:val="16"/>
                <w:szCs w:val="16"/>
              </w:rPr>
            </w:pPr>
          </w:p>
        </w:tc>
        <w:tc>
          <w:tcPr>
            <w:tcW w:w="820" w:type="dxa"/>
            <w:tcBorders>
              <w:top w:val="nil"/>
              <w:left w:val="nil"/>
              <w:bottom w:val="nil"/>
              <w:right w:val="nil"/>
            </w:tcBorders>
            <w:shd w:val="clear" w:color="auto" w:fill="auto"/>
            <w:noWrap/>
            <w:vAlign w:val="center"/>
          </w:tcPr>
          <w:p w:rsidR="002E7545" w:rsidRDefault="002E7545">
            <w:pPr>
              <w:widowControl/>
              <w:jc w:val="center"/>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center"/>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center"/>
              <w:rPr>
                <w:rFonts w:ascii="Times New Roman" w:eastAsia="Times New Roman" w:hAnsi="Times New Roman" w:cs="Times New Roman"/>
                <w:kern w:val="0"/>
                <w:sz w:val="20"/>
                <w:szCs w:val="20"/>
              </w:rPr>
            </w:pPr>
          </w:p>
        </w:tc>
        <w:tc>
          <w:tcPr>
            <w:tcW w:w="1900" w:type="dxa"/>
            <w:gridSpan w:val="2"/>
            <w:tcBorders>
              <w:top w:val="nil"/>
              <w:left w:val="nil"/>
              <w:bottom w:val="nil"/>
              <w:right w:val="nil"/>
            </w:tcBorders>
            <w:shd w:val="clear" w:color="auto" w:fill="auto"/>
            <w:noWrap/>
            <w:vAlign w:val="center"/>
          </w:tcPr>
          <w:p w:rsidR="002E7545" w:rsidRDefault="00A918A2">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金额单位：万元</w:t>
            </w:r>
          </w:p>
        </w:tc>
      </w:tr>
      <w:tr w:rsidR="002E7545">
        <w:trPr>
          <w:gridAfter w:val="1"/>
          <w:wAfter w:w="36" w:type="dxa"/>
          <w:trHeight w:val="315"/>
        </w:trPr>
        <w:tc>
          <w:tcPr>
            <w:tcW w:w="880" w:type="dxa"/>
            <w:vMerge w:val="restart"/>
            <w:tcBorders>
              <w:top w:val="single" w:sz="4" w:space="0" w:color="auto"/>
              <w:left w:val="single" w:sz="4" w:space="0" w:color="auto"/>
              <w:bottom w:val="single" w:sz="4" w:space="0" w:color="auto"/>
              <w:right w:val="nil"/>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一、基本情况</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项目序号</w:t>
            </w:r>
          </w:p>
        </w:tc>
        <w:tc>
          <w:tcPr>
            <w:tcW w:w="2280" w:type="dxa"/>
            <w:gridSpan w:val="2"/>
            <w:tcBorders>
              <w:top w:val="single" w:sz="4" w:space="0" w:color="auto"/>
              <w:left w:val="nil"/>
              <w:bottom w:val="single" w:sz="4" w:space="0" w:color="auto"/>
              <w:right w:val="single" w:sz="4" w:space="0" w:color="auto"/>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1313</w:t>
            </w:r>
            <w:r>
              <w:rPr>
                <w:rFonts w:ascii="宋体" w:eastAsia="宋体" w:hAnsi="宋体" w:cs="宋体" w:hint="eastAsia"/>
                <w:color w:val="000000"/>
                <w:kern w:val="0"/>
                <w:sz w:val="16"/>
                <w:szCs w:val="16"/>
              </w:rPr>
              <w:t>教育收费</w:t>
            </w:r>
          </w:p>
        </w:tc>
        <w:tc>
          <w:tcPr>
            <w:tcW w:w="820" w:type="dxa"/>
            <w:tcBorders>
              <w:top w:val="single" w:sz="4" w:space="0" w:color="auto"/>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项目实施单位</w:t>
            </w:r>
          </w:p>
        </w:tc>
        <w:tc>
          <w:tcPr>
            <w:tcW w:w="4460" w:type="dxa"/>
            <w:gridSpan w:val="4"/>
            <w:tcBorders>
              <w:top w:val="single" w:sz="4" w:space="0" w:color="auto"/>
              <w:left w:val="nil"/>
              <w:bottom w:val="single" w:sz="4" w:space="0" w:color="auto"/>
              <w:right w:val="single" w:sz="4" w:space="0" w:color="auto"/>
            </w:tcBorders>
            <w:shd w:val="clear" w:color="auto" w:fill="auto"/>
            <w:vAlign w:val="bottom"/>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石家庄市藁城区通安幼儿园</w:t>
            </w:r>
          </w:p>
        </w:tc>
      </w:tr>
      <w:tr w:rsidR="002E7545">
        <w:trPr>
          <w:gridAfter w:val="1"/>
          <w:wAfter w:w="36" w:type="dxa"/>
          <w:trHeight w:val="270"/>
        </w:trPr>
        <w:tc>
          <w:tcPr>
            <w:tcW w:w="880" w:type="dxa"/>
            <w:vMerge/>
            <w:tcBorders>
              <w:top w:val="single" w:sz="4" w:space="0" w:color="auto"/>
              <w:left w:val="single" w:sz="4" w:space="0" w:color="auto"/>
              <w:bottom w:val="single" w:sz="4" w:space="0" w:color="auto"/>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项目名称</w:t>
            </w:r>
          </w:p>
        </w:tc>
        <w:tc>
          <w:tcPr>
            <w:tcW w:w="7560" w:type="dxa"/>
            <w:gridSpan w:val="7"/>
            <w:tcBorders>
              <w:top w:val="single" w:sz="4" w:space="0" w:color="auto"/>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教育收费（非专项资金）</w:t>
            </w:r>
          </w:p>
        </w:tc>
      </w:tr>
      <w:tr w:rsidR="002E7545">
        <w:trPr>
          <w:gridAfter w:val="1"/>
          <w:wAfter w:w="36" w:type="dxa"/>
          <w:trHeight w:val="345"/>
        </w:trPr>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二、预算执行情况</w:t>
            </w:r>
          </w:p>
        </w:tc>
        <w:tc>
          <w:tcPr>
            <w:tcW w:w="10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预算调整数</w:t>
            </w:r>
          </w:p>
        </w:tc>
        <w:tc>
          <w:tcPr>
            <w:tcW w:w="100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资金到位数</w:t>
            </w:r>
          </w:p>
        </w:tc>
        <w:tc>
          <w:tcPr>
            <w:tcW w:w="12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自筹资金数</w:t>
            </w:r>
          </w:p>
        </w:tc>
        <w:tc>
          <w:tcPr>
            <w:tcW w:w="82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资金执行数</w:t>
            </w:r>
          </w:p>
        </w:tc>
        <w:tc>
          <w:tcPr>
            <w:tcW w:w="12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结余资金数</w:t>
            </w:r>
          </w:p>
        </w:tc>
        <w:tc>
          <w:tcPr>
            <w:tcW w:w="12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结余资金去向</w:t>
            </w:r>
          </w:p>
        </w:tc>
        <w:tc>
          <w:tcPr>
            <w:tcW w:w="1900" w:type="dxa"/>
            <w:gridSpan w:val="2"/>
            <w:tcBorders>
              <w:top w:val="single" w:sz="4" w:space="0" w:color="auto"/>
              <w:left w:val="nil"/>
              <w:bottom w:val="single" w:sz="4" w:space="0" w:color="auto"/>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预算执行进度</w:t>
            </w:r>
          </w:p>
        </w:tc>
      </w:tr>
      <w:tr w:rsidR="002E7545">
        <w:trPr>
          <w:gridAfter w:val="1"/>
          <w:wAfter w:w="36" w:type="dxa"/>
          <w:trHeight w:val="270"/>
        </w:trPr>
        <w:tc>
          <w:tcPr>
            <w:tcW w:w="880" w:type="dxa"/>
            <w:vMerge/>
            <w:tcBorders>
              <w:top w:val="nil"/>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1080" w:type="dxa"/>
            <w:tcBorders>
              <w:top w:val="nil"/>
              <w:left w:val="nil"/>
              <w:bottom w:val="single" w:sz="4" w:space="0" w:color="auto"/>
              <w:right w:val="single" w:sz="4" w:space="0" w:color="auto"/>
            </w:tcBorders>
            <w:shd w:val="clear" w:color="auto" w:fill="auto"/>
            <w:vAlign w:val="center"/>
          </w:tcPr>
          <w:p w:rsidR="002E7545" w:rsidRDefault="00A918A2">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131.566</w:t>
            </w:r>
          </w:p>
        </w:tc>
        <w:tc>
          <w:tcPr>
            <w:tcW w:w="1000" w:type="dxa"/>
            <w:tcBorders>
              <w:top w:val="nil"/>
              <w:left w:val="nil"/>
              <w:bottom w:val="single" w:sz="4" w:space="0" w:color="auto"/>
              <w:right w:val="single" w:sz="4" w:space="0" w:color="auto"/>
            </w:tcBorders>
            <w:shd w:val="clear" w:color="auto" w:fill="auto"/>
            <w:vAlign w:val="center"/>
          </w:tcPr>
          <w:p w:rsidR="002E7545" w:rsidRDefault="00A918A2">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131.566</w:t>
            </w:r>
          </w:p>
        </w:tc>
        <w:tc>
          <w:tcPr>
            <w:tcW w:w="1280" w:type="dxa"/>
            <w:tcBorders>
              <w:top w:val="nil"/>
              <w:left w:val="nil"/>
              <w:bottom w:val="single" w:sz="4" w:space="0" w:color="auto"/>
              <w:right w:val="single" w:sz="4" w:space="0" w:color="auto"/>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82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auto"/>
              <w:right w:val="single" w:sz="4" w:space="0" w:color="auto"/>
            </w:tcBorders>
            <w:shd w:val="clear" w:color="auto" w:fill="auto"/>
            <w:vAlign w:val="center"/>
          </w:tcPr>
          <w:p w:rsidR="002E7545" w:rsidRDefault="00A918A2">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0</w:t>
            </w:r>
          </w:p>
        </w:tc>
        <w:tc>
          <w:tcPr>
            <w:tcW w:w="12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900" w:type="dxa"/>
            <w:gridSpan w:val="2"/>
            <w:tcBorders>
              <w:top w:val="single" w:sz="4" w:space="0" w:color="auto"/>
              <w:left w:val="nil"/>
              <w:bottom w:val="nil"/>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r>
      <w:tr w:rsidR="002E7545">
        <w:trPr>
          <w:gridAfter w:val="1"/>
          <w:wAfter w:w="36" w:type="dxa"/>
          <w:trHeight w:val="270"/>
        </w:trPr>
        <w:tc>
          <w:tcPr>
            <w:tcW w:w="880" w:type="dxa"/>
            <w:vMerge w:val="restart"/>
            <w:tcBorders>
              <w:top w:val="nil"/>
              <w:left w:val="single" w:sz="4" w:space="0" w:color="000000"/>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三、目标完成情况</w:t>
            </w:r>
          </w:p>
        </w:tc>
        <w:tc>
          <w:tcPr>
            <w:tcW w:w="3360" w:type="dxa"/>
            <w:gridSpan w:val="3"/>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年度预期目标</w:t>
            </w:r>
          </w:p>
        </w:tc>
        <w:tc>
          <w:tcPr>
            <w:tcW w:w="3380" w:type="dxa"/>
            <w:gridSpan w:val="3"/>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具体完成情况</w:t>
            </w:r>
          </w:p>
        </w:tc>
        <w:tc>
          <w:tcPr>
            <w:tcW w:w="1900" w:type="dxa"/>
            <w:gridSpan w:val="2"/>
            <w:tcBorders>
              <w:top w:val="single" w:sz="4" w:space="0" w:color="auto"/>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总体完成率</w:t>
            </w:r>
          </w:p>
        </w:tc>
      </w:tr>
      <w:tr w:rsidR="002E7545">
        <w:trPr>
          <w:gridAfter w:val="1"/>
          <w:wAfter w:w="36" w:type="dxa"/>
          <w:trHeight w:val="312"/>
        </w:trPr>
        <w:tc>
          <w:tcPr>
            <w:tcW w:w="880" w:type="dxa"/>
            <w:vMerge/>
            <w:tcBorders>
              <w:top w:val="nil"/>
              <w:left w:val="single" w:sz="4" w:space="0" w:color="000000"/>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336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按照年初设定目标，明确资金使用目的，将收费项目的资金用于</w:t>
            </w:r>
            <w:r>
              <w:rPr>
                <w:rFonts w:ascii="宋体" w:eastAsia="宋体" w:hAnsi="宋体" w:cs="宋体" w:hint="eastAsia"/>
                <w:color w:val="000000"/>
                <w:kern w:val="0"/>
                <w:sz w:val="16"/>
                <w:szCs w:val="16"/>
              </w:rPr>
              <w:t>7</w:t>
            </w:r>
            <w:r>
              <w:rPr>
                <w:rFonts w:ascii="宋体" w:eastAsia="宋体" w:hAnsi="宋体" w:cs="宋体" w:hint="eastAsia"/>
                <w:color w:val="000000"/>
                <w:kern w:val="0"/>
                <w:sz w:val="16"/>
                <w:szCs w:val="16"/>
              </w:rPr>
              <w:t>大块：外聘教职工工资、校内资助、学校的水电费、设备购置、维修、校园绿化、退费等，为学校的正常有秩序的运转提供保障</w:t>
            </w:r>
          </w:p>
        </w:tc>
        <w:tc>
          <w:tcPr>
            <w:tcW w:w="33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每月按时发放工资，按照文件及时进行校内资助的发放，及时缴纳水电费和取暖费。因疫情停学，实际收费金额减少，各项预算金额执行中相应减少。</w:t>
            </w:r>
          </w:p>
        </w:tc>
        <w:tc>
          <w:tcPr>
            <w:tcW w:w="19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r>
      <w:tr w:rsidR="002E7545">
        <w:trPr>
          <w:trHeight w:val="270"/>
        </w:trPr>
        <w:tc>
          <w:tcPr>
            <w:tcW w:w="880" w:type="dxa"/>
            <w:vMerge/>
            <w:tcBorders>
              <w:top w:val="nil"/>
              <w:left w:val="single" w:sz="4" w:space="0" w:color="000000"/>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3360" w:type="dxa"/>
            <w:gridSpan w:val="3"/>
            <w:vMerge/>
            <w:tcBorders>
              <w:top w:val="single" w:sz="4" w:space="0" w:color="auto"/>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3380" w:type="dxa"/>
            <w:gridSpan w:val="3"/>
            <w:vMerge/>
            <w:tcBorders>
              <w:top w:val="single" w:sz="4" w:space="0" w:color="auto"/>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36" w:type="dxa"/>
            <w:tcBorders>
              <w:top w:val="nil"/>
              <w:left w:val="nil"/>
              <w:bottom w:val="nil"/>
              <w:right w:val="nil"/>
            </w:tcBorders>
            <w:shd w:val="clear" w:color="auto" w:fill="auto"/>
            <w:noWrap/>
            <w:vAlign w:val="center"/>
          </w:tcPr>
          <w:p w:rsidR="002E7545" w:rsidRDefault="002E7545">
            <w:pPr>
              <w:widowControl/>
              <w:jc w:val="center"/>
              <w:rPr>
                <w:rFonts w:ascii="宋体" w:eastAsia="宋体" w:hAnsi="宋体" w:cs="宋体"/>
                <w:color w:val="000000"/>
                <w:kern w:val="0"/>
                <w:sz w:val="16"/>
                <w:szCs w:val="16"/>
              </w:rPr>
            </w:pPr>
          </w:p>
        </w:tc>
      </w:tr>
      <w:tr w:rsidR="002E7545">
        <w:trPr>
          <w:trHeight w:val="420"/>
        </w:trPr>
        <w:tc>
          <w:tcPr>
            <w:tcW w:w="880" w:type="dxa"/>
            <w:vMerge/>
            <w:tcBorders>
              <w:top w:val="nil"/>
              <w:left w:val="single" w:sz="4" w:space="0" w:color="000000"/>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3360" w:type="dxa"/>
            <w:gridSpan w:val="3"/>
            <w:vMerge/>
            <w:tcBorders>
              <w:top w:val="single" w:sz="4" w:space="0" w:color="auto"/>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3380" w:type="dxa"/>
            <w:gridSpan w:val="3"/>
            <w:vMerge/>
            <w:tcBorders>
              <w:top w:val="single" w:sz="4" w:space="0" w:color="auto"/>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1900" w:type="dxa"/>
            <w:gridSpan w:val="2"/>
            <w:vMerge/>
            <w:tcBorders>
              <w:top w:val="single" w:sz="4" w:space="0" w:color="auto"/>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36"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70"/>
        </w:trPr>
        <w:tc>
          <w:tcPr>
            <w:tcW w:w="880" w:type="dxa"/>
            <w:vMerge w:val="restart"/>
            <w:tcBorders>
              <w:top w:val="nil"/>
              <w:left w:val="single" w:sz="4" w:space="0" w:color="auto"/>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四、年度绩效指标完成情况</w:t>
            </w:r>
          </w:p>
        </w:tc>
        <w:tc>
          <w:tcPr>
            <w:tcW w:w="1080" w:type="dxa"/>
            <w:tcBorders>
              <w:top w:val="nil"/>
              <w:left w:val="single" w:sz="4" w:space="0" w:color="000000"/>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一级指标</w:t>
            </w:r>
          </w:p>
        </w:tc>
        <w:tc>
          <w:tcPr>
            <w:tcW w:w="1000" w:type="dxa"/>
            <w:tcBorders>
              <w:top w:val="nil"/>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二级指标</w:t>
            </w:r>
          </w:p>
        </w:tc>
        <w:tc>
          <w:tcPr>
            <w:tcW w:w="2100" w:type="dxa"/>
            <w:gridSpan w:val="2"/>
            <w:tcBorders>
              <w:top w:val="nil"/>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三级指标</w:t>
            </w:r>
          </w:p>
        </w:tc>
        <w:tc>
          <w:tcPr>
            <w:tcW w:w="1280" w:type="dxa"/>
            <w:tcBorders>
              <w:top w:val="nil"/>
              <w:left w:val="nil"/>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指标分值</w:t>
            </w:r>
          </w:p>
        </w:tc>
        <w:tc>
          <w:tcPr>
            <w:tcW w:w="1280" w:type="dxa"/>
            <w:tcBorders>
              <w:top w:val="nil"/>
              <w:left w:val="single" w:sz="4" w:space="0" w:color="000000"/>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预期指标值</w:t>
            </w:r>
          </w:p>
        </w:tc>
        <w:tc>
          <w:tcPr>
            <w:tcW w:w="1140" w:type="dxa"/>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实际完成值</w:t>
            </w:r>
          </w:p>
        </w:tc>
        <w:tc>
          <w:tcPr>
            <w:tcW w:w="76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自评得分</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7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val="restart"/>
            <w:tcBorders>
              <w:top w:val="nil"/>
              <w:left w:val="single" w:sz="4" w:space="0" w:color="000000"/>
              <w:bottom w:val="nil"/>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产出指标（</w:t>
            </w:r>
            <w:r>
              <w:rPr>
                <w:rFonts w:ascii="宋体" w:eastAsia="宋体" w:hAnsi="宋体" w:cs="宋体" w:hint="eastAsia"/>
                <w:color w:val="000000"/>
                <w:kern w:val="0"/>
                <w:sz w:val="16"/>
                <w:szCs w:val="16"/>
              </w:rPr>
              <w:t>40</w:t>
            </w:r>
            <w:r>
              <w:rPr>
                <w:rFonts w:ascii="宋体" w:eastAsia="宋体" w:hAnsi="宋体" w:cs="宋体" w:hint="eastAsia"/>
                <w:color w:val="000000"/>
                <w:kern w:val="0"/>
                <w:sz w:val="16"/>
                <w:szCs w:val="16"/>
              </w:rPr>
              <w:t>）</w:t>
            </w:r>
          </w:p>
        </w:tc>
        <w:tc>
          <w:tcPr>
            <w:tcW w:w="1000" w:type="dxa"/>
            <w:tcBorders>
              <w:top w:val="nil"/>
              <w:left w:val="nil"/>
              <w:bottom w:val="nil"/>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数量指标</w:t>
            </w:r>
          </w:p>
        </w:tc>
        <w:tc>
          <w:tcPr>
            <w:tcW w:w="2100" w:type="dxa"/>
            <w:gridSpan w:val="2"/>
            <w:tcBorders>
              <w:top w:val="single" w:sz="4" w:space="0" w:color="000000"/>
              <w:left w:val="nil"/>
              <w:bottom w:val="single" w:sz="4" w:space="0" w:color="000000"/>
              <w:right w:val="single" w:sz="4" w:space="0" w:color="000000"/>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资金使用情况</w:t>
            </w:r>
          </w:p>
        </w:tc>
        <w:tc>
          <w:tcPr>
            <w:tcW w:w="1280" w:type="dxa"/>
            <w:tcBorders>
              <w:top w:val="nil"/>
              <w:left w:val="nil"/>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1280" w:type="dxa"/>
            <w:tcBorders>
              <w:top w:val="nil"/>
              <w:left w:val="single" w:sz="4" w:space="0" w:color="000000"/>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131.566</w:t>
            </w:r>
          </w:p>
        </w:tc>
        <w:tc>
          <w:tcPr>
            <w:tcW w:w="1140" w:type="dxa"/>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131.566</w:t>
            </w:r>
          </w:p>
        </w:tc>
        <w:tc>
          <w:tcPr>
            <w:tcW w:w="76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25"/>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2E7545" w:rsidRDefault="002E7545">
            <w:pPr>
              <w:widowControl/>
              <w:jc w:val="left"/>
              <w:rPr>
                <w:rFonts w:ascii="宋体" w:eastAsia="宋体" w:hAnsi="宋体" w:cs="宋体"/>
                <w:color w:val="000000"/>
                <w:kern w:val="0"/>
                <w:sz w:val="16"/>
                <w:szCs w:val="16"/>
              </w:rPr>
            </w:pPr>
          </w:p>
        </w:tc>
        <w:tc>
          <w:tcPr>
            <w:tcW w:w="1000" w:type="dxa"/>
            <w:tcBorders>
              <w:top w:val="single" w:sz="4" w:space="0" w:color="000000"/>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质量指标</w:t>
            </w:r>
          </w:p>
        </w:tc>
        <w:tc>
          <w:tcPr>
            <w:tcW w:w="2100" w:type="dxa"/>
            <w:gridSpan w:val="2"/>
            <w:tcBorders>
              <w:top w:val="single" w:sz="4" w:space="0" w:color="000000"/>
              <w:left w:val="nil"/>
              <w:bottom w:val="single" w:sz="4" w:space="0" w:color="000000"/>
              <w:right w:val="single" w:sz="4" w:space="0" w:color="000000"/>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质量合格率</w:t>
            </w:r>
          </w:p>
        </w:tc>
        <w:tc>
          <w:tcPr>
            <w:tcW w:w="1280" w:type="dxa"/>
            <w:tcBorders>
              <w:top w:val="nil"/>
              <w:left w:val="nil"/>
              <w:bottom w:val="single" w:sz="4" w:space="0" w:color="000000"/>
              <w:right w:val="nil"/>
            </w:tcBorders>
            <w:shd w:val="clear" w:color="auto" w:fill="auto"/>
            <w:vAlign w:val="center"/>
          </w:tcPr>
          <w:p w:rsidR="002E7545" w:rsidRDefault="00A918A2">
            <w:pPr>
              <w:widowControl/>
              <w:jc w:val="center"/>
              <w:rPr>
                <w:rFonts w:ascii="Calibri" w:eastAsia="宋体" w:hAnsi="Calibri" w:cs="Calibri"/>
                <w:color w:val="000000"/>
                <w:kern w:val="0"/>
                <w:szCs w:val="21"/>
              </w:rPr>
            </w:pPr>
            <w:r>
              <w:rPr>
                <w:rFonts w:ascii="Calibri" w:eastAsia="宋体" w:hAnsi="Calibri" w:cs="Calibri"/>
                <w:color w:val="000000"/>
                <w:kern w:val="0"/>
                <w:szCs w:val="21"/>
              </w:rPr>
              <w:t>10</w:t>
            </w:r>
          </w:p>
        </w:tc>
        <w:tc>
          <w:tcPr>
            <w:tcW w:w="1280" w:type="dxa"/>
            <w:tcBorders>
              <w:top w:val="nil"/>
              <w:left w:val="single" w:sz="4" w:space="0" w:color="000000"/>
              <w:bottom w:val="single" w:sz="4" w:space="0" w:color="000000"/>
              <w:right w:val="nil"/>
            </w:tcBorders>
            <w:shd w:val="clear" w:color="auto" w:fill="auto"/>
            <w:vAlign w:val="center"/>
          </w:tcPr>
          <w:p w:rsidR="002E7545" w:rsidRDefault="00A918A2">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≥97%</w:t>
            </w:r>
          </w:p>
        </w:tc>
        <w:tc>
          <w:tcPr>
            <w:tcW w:w="1140" w:type="dxa"/>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99%</w:t>
            </w:r>
          </w:p>
        </w:tc>
        <w:tc>
          <w:tcPr>
            <w:tcW w:w="76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4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2E7545" w:rsidRDefault="002E7545">
            <w:pPr>
              <w:widowControl/>
              <w:jc w:val="left"/>
              <w:rPr>
                <w:rFonts w:ascii="宋体" w:eastAsia="宋体" w:hAnsi="宋体" w:cs="宋体"/>
                <w:color w:val="000000"/>
                <w:kern w:val="0"/>
                <w:sz w:val="16"/>
                <w:szCs w:val="16"/>
              </w:rPr>
            </w:pPr>
          </w:p>
        </w:tc>
        <w:tc>
          <w:tcPr>
            <w:tcW w:w="1000" w:type="dxa"/>
            <w:tcBorders>
              <w:top w:val="nil"/>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时效指标</w:t>
            </w:r>
          </w:p>
        </w:tc>
        <w:tc>
          <w:tcPr>
            <w:tcW w:w="2100" w:type="dxa"/>
            <w:gridSpan w:val="2"/>
            <w:tcBorders>
              <w:top w:val="single" w:sz="4" w:space="0" w:color="000000"/>
              <w:left w:val="nil"/>
              <w:bottom w:val="single" w:sz="4" w:space="0" w:color="000000"/>
              <w:right w:val="single" w:sz="4" w:space="0" w:color="000000"/>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资金落实及完成情况</w:t>
            </w:r>
          </w:p>
        </w:tc>
        <w:tc>
          <w:tcPr>
            <w:tcW w:w="1280" w:type="dxa"/>
            <w:tcBorders>
              <w:top w:val="nil"/>
              <w:left w:val="nil"/>
              <w:bottom w:val="single" w:sz="4" w:space="0" w:color="000000"/>
              <w:right w:val="nil"/>
            </w:tcBorders>
            <w:shd w:val="clear" w:color="auto" w:fill="auto"/>
            <w:vAlign w:val="center"/>
          </w:tcPr>
          <w:p w:rsidR="002E7545" w:rsidRDefault="00A918A2">
            <w:pPr>
              <w:widowControl/>
              <w:jc w:val="center"/>
              <w:rPr>
                <w:rFonts w:ascii="Calibri" w:eastAsia="宋体" w:hAnsi="Calibri" w:cs="Calibri"/>
                <w:color w:val="000000"/>
                <w:kern w:val="0"/>
                <w:szCs w:val="21"/>
              </w:rPr>
            </w:pPr>
            <w:r>
              <w:rPr>
                <w:rFonts w:ascii="Calibri" w:eastAsia="宋体" w:hAnsi="Calibri" w:cs="Calibri"/>
                <w:color w:val="000000"/>
                <w:kern w:val="0"/>
                <w:szCs w:val="21"/>
              </w:rPr>
              <w:t>10</w:t>
            </w:r>
          </w:p>
        </w:tc>
        <w:tc>
          <w:tcPr>
            <w:tcW w:w="1280" w:type="dxa"/>
            <w:tcBorders>
              <w:top w:val="nil"/>
              <w:left w:val="single" w:sz="4" w:space="0" w:color="000000"/>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及时</w:t>
            </w:r>
          </w:p>
        </w:tc>
        <w:tc>
          <w:tcPr>
            <w:tcW w:w="1140" w:type="dxa"/>
            <w:tcBorders>
              <w:top w:val="nil"/>
              <w:left w:val="single" w:sz="4" w:space="0" w:color="000000"/>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及时</w:t>
            </w:r>
          </w:p>
        </w:tc>
        <w:tc>
          <w:tcPr>
            <w:tcW w:w="760" w:type="dxa"/>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9.9</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60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2E7545" w:rsidRDefault="002E7545">
            <w:pPr>
              <w:widowControl/>
              <w:jc w:val="left"/>
              <w:rPr>
                <w:rFonts w:ascii="宋体" w:eastAsia="宋体" w:hAnsi="宋体" w:cs="宋体"/>
                <w:color w:val="000000"/>
                <w:kern w:val="0"/>
                <w:sz w:val="16"/>
                <w:szCs w:val="16"/>
              </w:rPr>
            </w:pPr>
          </w:p>
        </w:tc>
        <w:tc>
          <w:tcPr>
            <w:tcW w:w="1000" w:type="dxa"/>
            <w:tcBorders>
              <w:top w:val="nil"/>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成本指标</w:t>
            </w:r>
          </w:p>
        </w:tc>
        <w:tc>
          <w:tcPr>
            <w:tcW w:w="2100" w:type="dxa"/>
            <w:gridSpan w:val="2"/>
            <w:tcBorders>
              <w:top w:val="single" w:sz="4" w:space="0" w:color="000000"/>
              <w:left w:val="nil"/>
              <w:bottom w:val="single" w:sz="4" w:space="0" w:color="000000"/>
              <w:right w:val="single" w:sz="4" w:space="0" w:color="000000"/>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成本控制有效性</w:t>
            </w:r>
          </w:p>
        </w:tc>
        <w:tc>
          <w:tcPr>
            <w:tcW w:w="1280" w:type="dxa"/>
            <w:tcBorders>
              <w:top w:val="nil"/>
              <w:left w:val="nil"/>
              <w:bottom w:val="single" w:sz="4" w:space="0" w:color="000000"/>
              <w:right w:val="nil"/>
            </w:tcBorders>
            <w:shd w:val="clear" w:color="auto" w:fill="auto"/>
            <w:vAlign w:val="center"/>
          </w:tcPr>
          <w:p w:rsidR="002E7545" w:rsidRDefault="00A918A2">
            <w:pPr>
              <w:widowControl/>
              <w:jc w:val="center"/>
              <w:rPr>
                <w:rFonts w:ascii="Calibri" w:eastAsia="宋体" w:hAnsi="Calibri" w:cs="Calibri"/>
                <w:color w:val="000000"/>
                <w:kern w:val="0"/>
                <w:szCs w:val="21"/>
              </w:rPr>
            </w:pPr>
            <w:r>
              <w:rPr>
                <w:rFonts w:ascii="Calibri" w:eastAsia="宋体" w:hAnsi="Calibri" w:cs="Calibri"/>
                <w:color w:val="000000"/>
                <w:kern w:val="0"/>
                <w:szCs w:val="21"/>
              </w:rPr>
              <w:t>10</w:t>
            </w:r>
          </w:p>
        </w:tc>
        <w:tc>
          <w:tcPr>
            <w:tcW w:w="1280" w:type="dxa"/>
            <w:tcBorders>
              <w:top w:val="nil"/>
              <w:left w:val="single" w:sz="4" w:space="0" w:color="000000"/>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严格采购程序，按照有关经费标准执行</w:t>
            </w:r>
          </w:p>
        </w:tc>
        <w:tc>
          <w:tcPr>
            <w:tcW w:w="1140" w:type="dxa"/>
            <w:tcBorders>
              <w:top w:val="nil"/>
              <w:left w:val="single" w:sz="4" w:space="0" w:color="000000"/>
              <w:bottom w:val="single" w:sz="4" w:space="0" w:color="000000"/>
              <w:right w:val="nil"/>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严格采购程序，按照有关经费标准执行</w:t>
            </w:r>
          </w:p>
        </w:tc>
        <w:tc>
          <w:tcPr>
            <w:tcW w:w="760" w:type="dxa"/>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42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预算执行率指标（</w:t>
            </w:r>
            <w:r>
              <w:rPr>
                <w:rFonts w:ascii="宋体" w:eastAsia="宋体" w:hAnsi="宋体" w:cs="宋体" w:hint="eastAsia"/>
                <w:color w:val="000000"/>
                <w:kern w:val="0"/>
                <w:sz w:val="16"/>
                <w:szCs w:val="16"/>
              </w:rPr>
              <w:t>10</w:t>
            </w:r>
            <w:r>
              <w:rPr>
                <w:rFonts w:ascii="宋体" w:eastAsia="宋体" w:hAnsi="宋体" w:cs="宋体" w:hint="eastAsia"/>
                <w:color w:val="000000"/>
                <w:kern w:val="0"/>
                <w:sz w:val="16"/>
                <w:szCs w:val="16"/>
              </w:rPr>
              <w:t>分）</w:t>
            </w:r>
          </w:p>
        </w:tc>
        <w:tc>
          <w:tcPr>
            <w:tcW w:w="1000" w:type="dxa"/>
            <w:tcBorders>
              <w:top w:val="nil"/>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预算执行率</w:t>
            </w:r>
          </w:p>
        </w:tc>
        <w:tc>
          <w:tcPr>
            <w:tcW w:w="2100" w:type="dxa"/>
            <w:gridSpan w:val="2"/>
            <w:tcBorders>
              <w:top w:val="single" w:sz="4" w:space="0" w:color="000000"/>
              <w:left w:val="nil"/>
              <w:bottom w:val="single" w:sz="4" w:space="0" w:color="000000"/>
              <w:right w:val="single" w:sz="4" w:space="0" w:color="000000"/>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预算执行率</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执行数</w:t>
            </w: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预算调整数</w:t>
            </w:r>
          </w:p>
        </w:tc>
        <w:tc>
          <w:tcPr>
            <w:tcW w:w="1280" w:type="dxa"/>
            <w:tcBorders>
              <w:top w:val="nil"/>
              <w:left w:val="nil"/>
              <w:bottom w:val="single" w:sz="4" w:space="0" w:color="000000"/>
              <w:right w:val="single" w:sz="4" w:space="0" w:color="000000"/>
            </w:tcBorders>
            <w:shd w:val="clear" w:color="auto" w:fill="auto"/>
            <w:vAlign w:val="center"/>
          </w:tcPr>
          <w:p w:rsidR="002E7545" w:rsidRDefault="00A918A2">
            <w:pPr>
              <w:widowControl/>
              <w:jc w:val="center"/>
              <w:rPr>
                <w:rFonts w:ascii="Calibri" w:eastAsia="宋体" w:hAnsi="Calibri" w:cs="Calibri"/>
                <w:color w:val="000000"/>
                <w:kern w:val="0"/>
                <w:szCs w:val="21"/>
              </w:rPr>
            </w:pPr>
            <w:r>
              <w:rPr>
                <w:rFonts w:ascii="Calibri" w:eastAsia="宋体" w:hAnsi="Calibri" w:cs="Calibri"/>
                <w:color w:val="000000"/>
                <w:kern w:val="0"/>
                <w:szCs w:val="21"/>
              </w:rPr>
              <w:t>10</w:t>
            </w:r>
          </w:p>
        </w:tc>
        <w:tc>
          <w:tcPr>
            <w:tcW w:w="1280" w:type="dxa"/>
            <w:tcBorders>
              <w:top w:val="nil"/>
              <w:left w:val="nil"/>
              <w:bottom w:val="single" w:sz="4" w:space="0" w:color="000000"/>
              <w:right w:val="nil"/>
            </w:tcBorders>
            <w:shd w:val="clear" w:color="auto" w:fill="auto"/>
            <w:vAlign w:val="center"/>
          </w:tcPr>
          <w:p w:rsidR="002E7545" w:rsidRDefault="00A918A2">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100%</w:t>
            </w:r>
          </w:p>
        </w:tc>
        <w:tc>
          <w:tcPr>
            <w:tcW w:w="1140" w:type="dxa"/>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100%</w:t>
            </w:r>
          </w:p>
        </w:tc>
        <w:tc>
          <w:tcPr>
            <w:tcW w:w="76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7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val="restart"/>
            <w:tcBorders>
              <w:top w:val="nil"/>
              <w:left w:val="single" w:sz="4" w:space="0" w:color="000000"/>
              <w:bottom w:val="nil"/>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000" w:type="dxa"/>
            <w:vMerge w:val="restart"/>
            <w:tcBorders>
              <w:top w:val="nil"/>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社会效益指标</w:t>
            </w:r>
          </w:p>
        </w:tc>
        <w:tc>
          <w:tcPr>
            <w:tcW w:w="2100" w:type="dxa"/>
            <w:gridSpan w:val="2"/>
            <w:tcBorders>
              <w:top w:val="single" w:sz="4" w:space="0" w:color="000000"/>
              <w:left w:val="nil"/>
              <w:bottom w:val="single" w:sz="4" w:space="0" w:color="auto"/>
              <w:right w:val="single" w:sz="4" w:space="0" w:color="000000"/>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受益幼儿数（</w:t>
            </w:r>
            <w:r>
              <w:rPr>
                <w:rFonts w:ascii="楷体_GB2312" w:eastAsia="楷体_GB2312" w:hAnsi="宋体" w:cs="宋体" w:hint="eastAsia"/>
                <w:color w:val="000000"/>
                <w:kern w:val="0"/>
                <w:sz w:val="16"/>
                <w:szCs w:val="16"/>
              </w:rPr>
              <w:t>10</w:t>
            </w:r>
            <w:r>
              <w:rPr>
                <w:rFonts w:ascii="楷体_GB2312" w:eastAsia="楷体_GB2312" w:hAnsi="宋体" w:cs="宋体" w:hint="eastAsia"/>
                <w:color w:val="000000"/>
                <w:kern w:val="0"/>
                <w:sz w:val="16"/>
                <w:szCs w:val="16"/>
              </w:rPr>
              <w:t>分</w:t>
            </w:r>
            <w:r>
              <w:rPr>
                <w:rFonts w:ascii="楷体_GB2312" w:eastAsia="楷体_GB2312" w:hAnsi="宋体" w:cs="宋体" w:hint="eastAsia"/>
                <w:color w:val="000000"/>
                <w:kern w:val="0"/>
                <w:sz w:val="16"/>
                <w:szCs w:val="16"/>
              </w:rPr>
              <w:t>)</w:t>
            </w:r>
          </w:p>
        </w:tc>
        <w:tc>
          <w:tcPr>
            <w:tcW w:w="128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729</w:t>
            </w:r>
          </w:p>
        </w:tc>
        <w:tc>
          <w:tcPr>
            <w:tcW w:w="128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729</w:t>
            </w:r>
          </w:p>
        </w:tc>
        <w:tc>
          <w:tcPr>
            <w:tcW w:w="1140" w:type="dxa"/>
            <w:tcBorders>
              <w:top w:val="nil"/>
              <w:left w:val="nil"/>
              <w:bottom w:val="single" w:sz="4" w:space="0" w:color="auto"/>
              <w:right w:val="single" w:sz="4" w:space="0" w:color="auto"/>
            </w:tcBorders>
            <w:shd w:val="clear" w:color="auto" w:fill="auto"/>
            <w:noWrap/>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76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7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2E7545" w:rsidRDefault="002E7545">
            <w:pPr>
              <w:widowControl/>
              <w:jc w:val="left"/>
              <w:rPr>
                <w:rFonts w:ascii="宋体" w:eastAsia="宋体" w:hAnsi="宋体" w:cs="宋体"/>
                <w:color w:val="000000"/>
                <w:kern w:val="0"/>
                <w:sz w:val="16"/>
                <w:szCs w:val="16"/>
              </w:rPr>
            </w:pPr>
          </w:p>
        </w:tc>
        <w:tc>
          <w:tcPr>
            <w:tcW w:w="1000" w:type="dxa"/>
            <w:vMerge/>
            <w:tcBorders>
              <w:top w:val="nil"/>
              <w:left w:val="nil"/>
              <w:bottom w:val="single" w:sz="4" w:space="0" w:color="000000"/>
              <w:right w:val="single" w:sz="4" w:space="0" w:color="000000"/>
            </w:tcBorders>
            <w:vAlign w:val="center"/>
          </w:tcPr>
          <w:p w:rsidR="002E7545" w:rsidRDefault="002E7545">
            <w:pPr>
              <w:widowControl/>
              <w:jc w:val="left"/>
              <w:rPr>
                <w:rFonts w:ascii="宋体" w:eastAsia="宋体" w:hAnsi="宋体" w:cs="宋体"/>
                <w:color w:val="000000"/>
                <w:kern w:val="0"/>
                <w:sz w:val="16"/>
                <w:szCs w:val="16"/>
              </w:rPr>
            </w:pPr>
          </w:p>
        </w:tc>
        <w:tc>
          <w:tcPr>
            <w:tcW w:w="2100" w:type="dxa"/>
            <w:gridSpan w:val="2"/>
            <w:tcBorders>
              <w:top w:val="single" w:sz="4" w:space="0" w:color="auto"/>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受益教师数</w:t>
            </w:r>
            <w:r>
              <w:rPr>
                <w:rFonts w:ascii="宋体" w:eastAsia="宋体" w:hAnsi="宋体" w:cs="宋体" w:hint="eastAsia"/>
                <w:color w:val="000000"/>
                <w:kern w:val="0"/>
                <w:sz w:val="16"/>
                <w:szCs w:val="16"/>
              </w:rPr>
              <w:t>(10</w:t>
            </w:r>
            <w:r>
              <w:rPr>
                <w:rFonts w:ascii="宋体" w:eastAsia="宋体" w:hAnsi="宋体" w:cs="宋体" w:hint="eastAsia"/>
                <w:color w:val="000000"/>
                <w:kern w:val="0"/>
                <w:sz w:val="16"/>
                <w:szCs w:val="16"/>
              </w:rPr>
              <w:t>分）</w:t>
            </w:r>
          </w:p>
        </w:tc>
        <w:tc>
          <w:tcPr>
            <w:tcW w:w="12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86</w:t>
            </w:r>
          </w:p>
        </w:tc>
        <w:tc>
          <w:tcPr>
            <w:tcW w:w="12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86</w:t>
            </w:r>
          </w:p>
        </w:tc>
        <w:tc>
          <w:tcPr>
            <w:tcW w:w="1140" w:type="dxa"/>
            <w:tcBorders>
              <w:top w:val="nil"/>
              <w:left w:val="nil"/>
              <w:bottom w:val="single" w:sz="4" w:space="0" w:color="auto"/>
              <w:right w:val="single" w:sz="4" w:space="0" w:color="auto"/>
            </w:tcBorders>
            <w:shd w:val="clear" w:color="auto" w:fill="auto"/>
            <w:noWrap/>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76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45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2E7545" w:rsidRDefault="002E7545">
            <w:pPr>
              <w:widowControl/>
              <w:jc w:val="left"/>
              <w:rPr>
                <w:rFonts w:ascii="宋体" w:eastAsia="宋体" w:hAnsi="宋体" w:cs="宋体"/>
                <w:color w:val="000000"/>
                <w:kern w:val="0"/>
                <w:sz w:val="16"/>
                <w:szCs w:val="16"/>
              </w:rPr>
            </w:pPr>
          </w:p>
        </w:tc>
        <w:tc>
          <w:tcPr>
            <w:tcW w:w="1000" w:type="dxa"/>
            <w:tcBorders>
              <w:top w:val="nil"/>
              <w:left w:val="nil"/>
              <w:bottom w:val="single" w:sz="4" w:space="0" w:color="000000"/>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可持续影响指标</w:t>
            </w:r>
          </w:p>
        </w:tc>
        <w:tc>
          <w:tcPr>
            <w:tcW w:w="2100" w:type="dxa"/>
            <w:gridSpan w:val="2"/>
            <w:tcBorders>
              <w:top w:val="single" w:sz="4" w:space="0" w:color="000000"/>
              <w:left w:val="nil"/>
              <w:bottom w:val="single" w:sz="4" w:space="0" w:color="auto"/>
              <w:right w:val="single" w:sz="4" w:space="0" w:color="000000"/>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困难家庭幼儿教育负担得到缓解情况（</w:t>
            </w:r>
            <w:r>
              <w:rPr>
                <w:rFonts w:ascii="楷体_GB2312" w:eastAsia="楷体_GB2312" w:hAnsi="宋体" w:cs="宋体" w:hint="eastAsia"/>
                <w:color w:val="000000"/>
                <w:kern w:val="0"/>
                <w:sz w:val="16"/>
                <w:szCs w:val="16"/>
              </w:rPr>
              <w:t>20</w:t>
            </w:r>
            <w:r>
              <w:rPr>
                <w:rFonts w:ascii="楷体_GB2312" w:eastAsia="楷体_GB2312" w:hAnsi="宋体" w:cs="宋体" w:hint="eastAsia"/>
                <w:color w:val="000000"/>
                <w:kern w:val="0"/>
                <w:sz w:val="16"/>
                <w:szCs w:val="16"/>
              </w:rPr>
              <w:t>分）</w:t>
            </w:r>
          </w:p>
        </w:tc>
        <w:tc>
          <w:tcPr>
            <w:tcW w:w="128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20</w:t>
            </w:r>
          </w:p>
        </w:tc>
        <w:tc>
          <w:tcPr>
            <w:tcW w:w="128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20</w:t>
            </w:r>
          </w:p>
        </w:tc>
        <w:tc>
          <w:tcPr>
            <w:tcW w:w="1140" w:type="dxa"/>
            <w:tcBorders>
              <w:top w:val="nil"/>
              <w:left w:val="nil"/>
              <w:bottom w:val="single" w:sz="4" w:space="0" w:color="auto"/>
              <w:right w:val="single" w:sz="4" w:space="0" w:color="auto"/>
            </w:tcBorders>
            <w:shd w:val="clear" w:color="auto" w:fill="auto"/>
            <w:noWrap/>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w:t>
            </w:r>
          </w:p>
        </w:tc>
        <w:tc>
          <w:tcPr>
            <w:tcW w:w="76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20</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7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满意度指标</w:t>
            </w:r>
          </w:p>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w:t>
            </w:r>
            <w:r>
              <w:rPr>
                <w:rFonts w:ascii="宋体" w:eastAsia="宋体" w:hAnsi="宋体" w:cs="宋体" w:hint="eastAsia"/>
                <w:color w:val="000000"/>
                <w:kern w:val="0"/>
                <w:sz w:val="16"/>
                <w:szCs w:val="16"/>
              </w:rPr>
              <w:t>10</w:t>
            </w:r>
            <w:r>
              <w:rPr>
                <w:rFonts w:ascii="宋体" w:eastAsia="宋体" w:hAnsi="宋体" w:cs="宋体" w:hint="eastAsia"/>
                <w:color w:val="000000"/>
                <w:kern w:val="0"/>
                <w:sz w:val="16"/>
                <w:szCs w:val="16"/>
              </w:rPr>
              <w:t>分）</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满意度指标</w:t>
            </w:r>
          </w:p>
        </w:tc>
        <w:tc>
          <w:tcPr>
            <w:tcW w:w="2100" w:type="dxa"/>
            <w:gridSpan w:val="2"/>
            <w:tcBorders>
              <w:top w:val="single" w:sz="4" w:space="0" w:color="auto"/>
              <w:left w:val="nil"/>
              <w:bottom w:val="single" w:sz="4" w:space="0" w:color="auto"/>
              <w:right w:val="single" w:sz="4" w:space="0" w:color="000000"/>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教师满意度</w:t>
            </w:r>
          </w:p>
        </w:tc>
        <w:tc>
          <w:tcPr>
            <w:tcW w:w="128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22"/>
              </w:rPr>
            </w:pPr>
            <w:r>
              <w:rPr>
                <w:rFonts w:ascii="楷体_GB2312" w:eastAsia="楷体_GB2312" w:hAnsi="宋体" w:cs="宋体" w:hint="eastAsia"/>
                <w:color w:val="000000"/>
                <w:kern w:val="0"/>
                <w:sz w:val="22"/>
              </w:rPr>
              <w:t>5</w:t>
            </w:r>
          </w:p>
        </w:tc>
        <w:tc>
          <w:tcPr>
            <w:tcW w:w="128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95%</w:t>
            </w:r>
          </w:p>
        </w:tc>
        <w:tc>
          <w:tcPr>
            <w:tcW w:w="114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98%</w:t>
            </w:r>
          </w:p>
        </w:tc>
        <w:tc>
          <w:tcPr>
            <w:tcW w:w="760" w:type="dxa"/>
            <w:tcBorders>
              <w:top w:val="nil"/>
              <w:left w:val="nil"/>
              <w:bottom w:val="single" w:sz="4" w:space="0" w:color="auto"/>
              <w:right w:val="single" w:sz="4" w:space="0" w:color="auto"/>
            </w:tcBorders>
            <w:shd w:val="clear" w:color="auto" w:fill="auto"/>
            <w:noWrap/>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70"/>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1000" w:type="dxa"/>
            <w:vMerge/>
            <w:tcBorders>
              <w:top w:val="nil"/>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2100" w:type="dxa"/>
            <w:gridSpan w:val="2"/>
            <w:tcBorders>
              <w:top w:val="single" w:sz="4" w:space="0" w:color="auto"/>
              <w:left w:val="nil"/>
              <w:bottom w:val="single" w:sz="4" w:space="0" w:color="auto"/>
              <w:right w:val="single" w:sz="4" w:space="0" w:color="000000"/>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家长满意度</w:t>
            </w:r>
          </w:p>
        </w:tc>
        <w:tc>
          <w:tcPr>
            <w:tcW w:w="128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22"/>
              </w:rPr>
            </w:pPr>
            <w:r>
              <w:rPr>
                <w:rFonts w:ascii="楷体_GB2312" w:eastAsia="楷体_GB2312" w:hAnsi="宋体" w:cs="宋体" w:hint="eastAsia"/>
                <w:color w:val="000000"/>
                <w:kern w:val="0"/>
                <w:sz w:val="22"/>
              </w:rPr>
              <w:t>5</w:t>
            </w:r>
          </w:p>
        </w:tc>
        <w:tc>
          <w:tcPr>
            <w:tcW w:w="128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95%</w:t>
            </w:r>
          </w:p>
        </w:tc>
        <w:tc>
          <w:tcPr>
            <w:tcW w:w="1140" w:type="dxa"/>
            <w:tcBorders>
              <w:top w:val="nil"/>
              <w:left w:val="nil"/>
              <w:bottom w:val="single" w:sz="4" w:space="0" w:color="auto"/>
              <w:right w:val="single" w:sz="4" w:space="0" w:color="auto"/>
            </w:tcBorders>
            <w:shd w:val="clear" w:color="000000" w:fill="FFFFFF"/>
            <w:vAlign w:val="center"/>
          </w:tcPr>
          <w:p w:rsidR="002E7545" w:rsidRDefault="00A918A2">
            <w:pPr>
              <w:widowControl/>
              <w:jc w:val="center"/>
              <w:rPr>
                <w:rFonts w:ascii="楷体_GB2312" w:eastAsia="楷体_GB2312" w:hAnsi="宋体" w:cs="宋体"/>
                <w:color w:val="000000"/>
                <w:kern w:val="0"/>
                <w:sz w:val="16"/>
                <w:szCs w:val="16"/>
              </w:rPr>
            </w:pPr>
            <w:r>
              <w:rPr>
                <w:rFonts w:ascii="楷体_GB2312" w:eastAsia="楷体_GB2312" w:hAnsi="宋体" w:cs="宋体" w:hint="eastAsia"/>
                <w:color w:val="000000"/>
                <w:kern w:val="0"/>
                <w:sz w:val="16"/>
                <w:szCs w:val="16"/>
              </w:rPr>
              <w:t>96%</w:t>
            </w:r>
          </w:p>
        </w:tc>
        <w:tc>
          <w:tcPr>
            <w:tcW w:w="760" w:type="dxa"/>
            <w:tcBorders>
              <w:top w:val="nil"/>
              <w:left w:val="nil"/>
              <w:bottom w:val="single" w:sz="4" w:space="0" w:color="auto"/>
              <w:right w:val="single" w:sz="4" w:space="0" w:color="auto"/>
            </w:tcBorders>
            <w:shd w:val="clear" w:color="auto" w:fill="auto"/>
            <w:noWrap/>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5</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25"/>
        </w:trPr>
        <w:tc>
          <w:tcPr>
            <w:tcW w:w="880" w:type="dxa"/>
            <w:vMerge/>
            <w:tcBorders>
              <w:top w:val="nil"/>
              <w:left w:val="single" w:sz="4" w:space="0" w:color="auto"/>
              <w:bottom w:val="single" w:sz="4" w:space="0" w:color="000000"/>
              <w:right w:val="nil"/>
            </w:tcBorders>
            <w:vAlign w:val="center"/>
          </w:tcPr>
          <w:p w:rsidR="002E7545" w:rsidRDefault="002E7545">
            <w:pPr>
              <w:widowControl/>
              <w:jc w:val="left"/>
              <w:rPr>
                <w:rFonts w:ascii="宋体" w:eastAsia="宋体" w:hAnsi="宋体" w:cs="宋体"/>
                <w:color w:val="000000"/>
                <w:kern w:val="0"/>
                <w:sz w:val="16"/>
                <w:szCs w:val="16"/>
              </w:rPr>
            </w:pPr>
          </w:p>
        </w:tc>
        <w:tc>
          <w:tcPr>
            <w:tcW w:w="7880"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总</w:t>
            </w:r>
            <w:r>
              <w:rPr>
                <w:rFonts w:ascii="宋体" w:eastAsia="宋体" w:hAnsi="宋体" w:cs="宋体" w:hint="eastAsia"/>
                <w:color w:val="000000"/>
                <w:kern w:val="0"/>
                <w:sz w:val="16"/>
                <w:szCs w:val="16"/>
              </w:rPr>
              <w:t>分</w:t>
            </w:r>
          </w:p>
        </w:tc>
        <w:tc>
          <w:tcPr>
            <w:tcW w:w="76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98.9</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25"/>
        </w:trPr>
        <w:tc>
          <w:tcPr>
            <w:tcW w:w="880" w:type="dxa"/>
            <w:vMerge w:val="restart"/>
            <w:tcBorders>
              <w:top w:val="nil"/>
              <w:left w:val="single" w:sz="4" w:space="0" w:color="auto"/>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五、项目绩效分析</w:t>
            </w:r>
          </w:p>
        </w:tc>
        <w:tc>
          <w:tcPr>
            <w:tcW w:w="10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项目存在问题</w:t>
            </w:r>
          </w:p>
        </w:tc>
        <w:tc>
          <w:tcPr>
            <w:tcW w:w="7560" w:type="dxa"/>
            <w:gridSpan w:val="7"/>
            <w:tcBorders>
              <w:top w:val="single" w:sz="4" w:space="0" w:color="auto"/>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180"/>
        </w:trPr>
        <w:tc>
          <w:tcPr>
            <w:tcW w:w="880" w:type="dxa"/>
            <w:vMerge/>
            <w:tcBorders>
              <w:top w:val="nil"/>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10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问题成因分析</w:t>
            </w:r>
          </w:p>
        </w:tc>
        <w:tc>
          <w:tcPr>
            <w:tcW w:w="7560" w:type="dxa"/>
            <w:gridSpan w:val="7"/>
            <w:tcBorders>
              <w:top w:val="single" w:sz="4" w:space="0" w:color="auto"/>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195"/>
        </w:trPr>
        <w:tc>
          <w:tcPr>
            <w:tcW w:w="880" w:type="dxa"/>
            <w:vMerge/>
            <w:tcBorders>
              <w:top w:val="nil"/>
              <w:left w:val="single" w:sz="4" w:space="0" w:color="auto"/>
              <w:bottom w:val="single" w:sz="4" w:space="0" w:color="auto"/>
              <w:right w:val="single" w:sz="4" w:space="0" w:color="auto"/>
            </w:tcBorders>
            <w:vAlign w:val="center"/>
          </w:tcPr>
          <w:p w:rsidR="002E7545" w:rsidRDefault="002E7545">
            <w:pPr>
              <w:widowControl/>
              <w:jc w:val="left"/>
              <w:rPr>
                <w:rFonts w:ascii="宋体" w:eastAsia="宋体" w:hAnsi="宋体" w:cs="宋体"/>
                <w:color w:val="000000"/>
                <w:kern w:val="0"/>
                <w:sz w:val="16"/>
                <w:szCs w:val="16"/>
              </w:rPr>
            </w:pPr>
          </w:p>
        </w:tc>
        <w:tc>
          <w:tcPr>
            <w:tcW w:w="1080" w:type="dxa"/>
            <w:tcBorders>
              <w:top w:val="nil"/>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整改措施</w:t>
            </w:r>
          </w:p>
        </w:tc>
        <w:tc>
          <w:tcPr>
            <w:tcW w:w="7560" w:type="dxa"/>
            <w:gridSpan w:val="7"/>
            <w:tcBorders>
              <w:top w:val="single" w:sz="4" w:space="0" w:color="auto"/>
              <w:left w:val="nil"/>
              <w:bottom w:val="single" w:sz="4" w:space="0" w:color="auto"/>
              <w:right w:val="single" w:sz="4" w:space="0" w:color="auto"/>
            </w:tcBorders>
            <w:shd w:val="clear" w:color="auto" w:fill="auto"/>
            <w:vAlign w:val="center"/>
          </w:tcPr>
          <w:p w:rsidR="002E7545" w:rsidRDefault="00A918A2">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70"/>
        </w:trPr>
        <w:tc>
          <w:tcPr>
            <w:tcW w:w="9520" w:type="dxa"/>
            <w:gridSpan w:val="9"/>
            <w:tcBorders>
              <w:top w:val="nil"/>
              <w:left w:val="nil"/>
              <w:bottom w:val="nil"/>
              <w:right w:val="nil"/>
            </w:tcBorders>
            <w:shd w:val="clear" w:color="auto" w:fill="auto"/>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注：指标值仅供参考，绩效指标设定应参考相关历史数据、行业标准、计划标准等，科学制定指标值。</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r w:rsidR="002E7545">
        <w:trPr>
          <w:trHeight w:val="270"/>
        </w:trPr>
        <w:tc>
          <w:tcPr>
            <w:tcW w:w="1960" w:type="dxa"/>
            <w:gridSpan w:val="2"/>
            <w:tcBorders>
              <w:top w:val="nil"/>
              <w:left w:val="nil"/>
              <w:bottom w:val="nil"/>
              <w:right w:val="nil"/>
            </w:tcBorders>
            <w:shd w:val="clear" w:color="auto" w:fill="auto"/>
            <w:noWrap/>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lastRenderedPageBreak/>
              <w:t>填报人：王雪丽</w:t>
            </w:r>
          </w:p>
        </w:tc>
        <w:tc>
          <w:tcPr>
            <w:tcW w:w="1000" w:type="dxa"/>
            <w:tcBorders>
              <w:top w:val="nil"/>
              <w:left w:val="nil"/>
              <w:bottom w:val="nil"/>
              <w:right w:val="nil"/>
            </w:tcBorders>
            <w:shd w:val="clear" w:color="auto" w:fill="auto"/>
            <w:noWrap/>
            <w:vAlign w:val="bottom"/>
          </w:tcPr>
          <w:p w:rsidR="002E7545" w:rsidRDefault="002E7545">
            <w:pPr>
              <w:widowControl/>
              <w:jc w:val="left"/>
              <w:rPr>
                <w:rFonts w:ascii="宋体" w:eastAsia="宋体" w:hAnsi="宋体" w:cs="宋体"/>
                <w:color w:val="000000"/>
                <w:kern w:val="0"/>
                <w:sz w:val="16"/>
                <w:szCs w:val="16"/>
              </w:rPr>
            </w:pPr>
          </w:p>
        </w:tc>
        <w:tc>
          <w:tcPr>
            <w:tcW w:w="1280" w:type="dxa"/>
            <w:tcBorders>
              <w:top w:val="nil"/>
              <w:left w:val="nil"/>
              <w:bottom w:val="nil"/>
              <w:right w:val="nil"/>
            </w:tcBorders>
            <w:shd w:val="clear" w:color="auto" w:fill="auto"/>
            <w:noWrap/>
            <w:vAlign w:val="bottom"/>
          </w:tcPr>
          <w:p w:rsidR="002E7545" w:rsidRDefault="002E7545">
            <w:pPr>
              <w:widowControl/>
              <w:jc w:val="left"/>
              <w:rPr>
                <w:rFonts w:ascii="Times New Roman" w:eastAsia="Times New Roman" w:hAnsi="Times New Roman" w:cs="Times New Roman"/>
                <w:kern w:val="0"/>
                <w:sz w:val="20"/>
                <w:szCs w:val="20"/>
              </w:rPr>
            </w:pPr>
          </w:p>
        </w:tc>
        <w:tc>
          <w:tcPr>
            <w:tcW w:w="820" w:type="dxa"/>
            <w:tcBorders>
              <w:top w:val="nil"/>
              <w:left w:val="nil"/>
              <w:bottom w:val="nil"/>
              <w:right w:val="nil"/>
            </w:tcBorders>
            <w:shd w:val="clear" w:color="auto" w:fill="auto"/>
            <w:noWrap/>
            <w:vAlign w:val="bottom"/>
          </w:tcPr>
          <w:p w:rsidR="002E7545" w:rsidRDefault="002E7545">
            <w:pPr>
              <w:widowControl/>
              <w:jc w:val="left"/>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bottom"/>
          </w:tcPr>
          <w:p w:rsidR="002E7545" w:rsidRDefault="002E7545">
            <w:pPr>
              <w:widowControl/>
              <w:jc w:val="left"/>
              <w:rPr>
                <w:rFonts w:ascii="Times New Roman" w:eastAsia="Times New Roman" w:hAnsi="Times New Roman" w:cs="Times New Roman"/>
                <w:kern w:val="0"/>
                <w:sz w:val="20"/>
                <w:szCs w:val="20"/>
              </w:rPr>
            </w:pPr>
          </w:p>
        </w:tc>
        <w:tc>
          <w:tcPr>
            <w:tcW w:w="1280" w:type="dxa"/>
            <w:tcBorders>
              <w:top w:val="nil"/>
              <w:left w:val="nil"/>
              <w:bottom w:val="nil"/>
              <w:right w:val="nil"/>
            </w:tcBorders>
            <w:shd w:val="clear" w:color="auto" w:fill="auto"/>
            <w:noWrap/>
            <w:vAlign w:val="center"/>
          </w:tcPr>
          <w:p w:rsidR="002E7545" w:rsidRDefault="002E7545">
            <w:pPr>
              <w:widowControl/>
              <w:jc w:val="left"/>
              <w:rPr>
                <w:rFonts w:ascii="Times New Roman" w:eastAsia="Times New Roman" w:hAnsi="Times New Roman" w:cs="Times New Roman"/>
                <w:kern w:val="0"/>
                <w:sz w:val="20"/>
                <w:szCs w:val="20"/>
              </w:rPr>
            </w:pPr>
          </w:p>
        </w:tc>
        <w:tc>
          <w:tcPr>
            <w:tcW w:w="1900" w:type="dxa"/>
            <w:gridSpan w:val="2"/>
            <w:tcBorders>
              <w:top w:val="nil"/>
              <w:left w:val="nil"/>
              <w:bottom w:val="nil"/>
              <w:right w:val="nil"/>
            </w:tcBorders>
            <w:shd w:val="clear" w:color="auto" w:fill="auto"/>
            <w:noWrap/>
            <w:vAlign w:val="center"/>
          </w:tcPr>
          <w:p w:rsidR="002E7545" w:rsidRDefault="00A918A2">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联系电话：</w:t>
            </w:r>
            <w:r>
              <w:rPr>
                <w:rFonts w:ascii="宋体" w:eastAsia="宋体" w:hAnsi="宋体" w:cs="宋体" w:hint="eastAsia"/>
                <w:color w:val="000000"/>
                <w:kern w:val="0"/>
                <w:sz w:val="16"/>
                <w:szCs w:val="16"/>
              </w:rPr>
              <w:t>13831118605</w:t>
            </w:r>
          </w:p>
        </w:tc>
        <w:tc>
          <w:tcPr>
            <w:tcW w:w="36" w:type="dxa"/>
            <w:vAlign w:val="center"/>
          </w:tcPr>
          <w:p w:rsidR="002E7545" w:rsidRDefault="002E7545">
            <w:pPr>
              <w:widowControl/>
              <w:jc w:val="left"/>
              <w:rPr>
                <w:rFonts w:ascii="Times New Roman" w:eastAsia="Times New Roman" w:hAnsi="Times New Roman" w:cs="Times New Roman"/>
                <w:kern w:val="0"/>
                <w:sz w:val="20"/>
                <w:szCs w:val="20"/>
              </w:rPr>
            </w:pPr>
          </w:p>
        </w:tc>
      </w:tr>
    </w:tbl>
    <w:p w:rsidR="002E7545" w:rsidRDefault="00A918A2">
      <w:pPr>
        <w:adjustRightInd w:val="0"/>
        <w:snapToGrid w:val="0"/>
        <w:spacing w:line="580" w:lineRule="exact"/>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（三）财政评价项目绩效评价结果</w:t>
      </w:r>
    </w:p>
    <w:p w:rsidR="002E7545" w:rsidRDefault="00A918A2">
      <w:pPr>
        <w:pStyle w:val="10"/>
        <w:spacing w:line="500" w:lineRule="exact"/>
        <w:ind w:firstLine="640"/>
        <w:rPr>
          <w:rFonts w:ascii="仿宋" w:eastAsia="仿宋" w:hAnsi="仿宋" w:cs="仿宋"/>
          <w:sz w:val="32"/>
          <w:szCs w:val="32"/>
        </w:rPr>
      </w:pPr>
      <w:r>
        <w:rPr>
          <w:rFonts w:ascii="仿宋" w:eastAsia="仿宋" w:hAnsi="仿宋" w:cs="仿宋" w:hint="eastAsia"/>
          <w:sz w:val="32"/>
          <w:szCs w:val="32"/>
        </w:rPr>
        <w:t>针对不足，我们将继续努力不断健全制度，完善政策、改进管理、优化流程不断提高部门绩效管理水平。具体如下：</w:t>
      </w:r>
    </w:p>
    <w:p w:rsidR="002E7545" w:rsidRDefault="00A918A2">
      <w:pPr>
        <w:pStyle w:val="10"/>
        <w:spacing w:line="500" w:lineRule="exact"/>
        <w:ind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）不断学习新知识，努力接收新政策，提前预测，科学把控，全面预算。</w:t>
      </w:r>
    </w:p>
    <w:p w:rsidR="002E7545" w:rsidRDefault="00A918A2">
      <w:pPr>
        <w:pStyle w:val="10"/>
        <w:spacing w:line="500" w:lineRule="exact"/>
        <w:ind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）要不断清查学生人数，精密测算，准确定位，尽量保证上下年的人数不会有太大差距。</w:t>
      </w:r>
    </w:p>
    <w:p w:rsidR="002E7545" w:rsidRDefault="00A918A2">
      <w:pPr>
        <w:pStyle w:val="10"/>
        <w:numPr>
          <w:ilvl w:val="0"/>
          <w:numId w:val="2"/>
        </w:numPr>
        <w:spacing w:line="500" w:lineRule="exact"/>
        <w:ind w:left="1287" w:firstLineChars="0" w:hanging="720"/>
        <w:rPr>
          <w:rFonts w:ascii="仿宋" w:eastAsia="仿宋" w:hAnsi="仿宋" w:cs="仿宋"/>
          <w:sz w:val="32"/>
          <w:szCs w:val="32"/>
        </w:rPr>
      </w:pPr>
      <w:r>
        <w:rPr>
          <w:rFonts w:ascii="仿宋" w:eastAsia="仿宋" w:hAnsi="仿宋" w:cs="仿宋" w:hint="eastAsia"/>
          <w:sz w:val="32"/>
          <w:szCs w:val="32"/>
        </w:rPr>
        <w:t>找准定位，既要保证政策全面落实，不折不扣，又要保证资金有效利用，不会浪费。</w:t>
      </w:r>
    </w:p>
    <w:p w:rsidR="002E7545" w:rsidRDefault="00A918A2">
      <w:pPr>
        <w:adjustRightInd w:val="0"/>
        <w:snapToGrid w:val="0"/>
        <w:spacing w:line="580" w:lineRule="exact"/>
        <w:ind w:leftChars="200" w:left="420" w:firstLineChars="100" w:firstLine="320"/>
        <w:rPr>
          <w:rFonts w:ascii="仿宋_GB2312" w:eastAsia="仿宋_GB2312" w:hAnsi="仿宋_GB2312" w:cs="仿宋_GB2312"/>
          <w:sz w:val="32"/>
          <w:szCs w:val="32"/>
        </w:rPr>
      </w:pPr>
      <w:r>
        <w:rPr>
          <w:rFonts w:ascii="黑体" w:eastAsia="黑体" w:hAnsi="Calibri" w:cs="Times New Roman" w:hint="eastAsia"/>
          <w:sz w:val="32"/>
          <w:szCs w:val="32"/>
        </w:rPr>
        <w:t>七、机关运行经费情况</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年度机关运行经费支出</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万元，比</w:t>
      </w:r>
      <w:r>
        <w:rPr>
          <w:rFonts w:ascii="仿宋_GB2312" w:eastAsia="仿宋_GB2312" w:hAnsi="Times New Roman" w:cs="DengXian-Regular" w:hint="eastAsia"/>
          <w:sz w:val="32"/>
          <w:szCs w:val="32"/>
        </w:rPr>
        <w:t>2020</w:t>
      </w:r>
      <w:r>
        <w:rPr>
          <w:rFonts w:ascii="仿宋_GB2312" w:eastAsia="仿宋_GB2312" w:hAnsi="Times New Roman" w:cs="DengXian-Regular" w:hint="eastAsia"/>
          <w:sz w:val="32"/>
          <w:szCs w:val="32"/>
        </w:rPr>
        <w:t>年度增加</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。主要原因是未发生机关运行经费。</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黑体" w:eastAsia="黑体" w:hAnsi="Calibri" w:cs="Times New Roman" w:hint="eastAsia"/>
          <w:sz w:val="32"/>
          <w:szCs w:val="32"/>
        </w:rPr>
        <w:t>八、政府采购情况</w:t>
      </w:r>
    </w:p>
    <w:p w:rsidR="002E7545" w:rsidRDefault="00A918A2">
      <w:pPr>
        <w:snapToGrid w:val="0"/>
        <w:spacing w:line="580" w:lineRule="exact"/>
        <w:ind w:firstLineChars="200" w:firstLine="640"/>
        <w:jc w:val="left"/>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年度政府采购支出总额</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万元，从采购类型来看，</w:t>
      </w:r>
      <w:r>
        <w:rPr>
          <w:rFonts w:ascii="仿宋_GB2312" w:eastAsia="仿宋_GB2312" w:hAnsi="仿宋_GB2312" w:cs="仿宋_GB2312"/>
          <w:color w:val="000000"/>
          <w:kern w:val="0"/>
          <w:sz w:val="32"/>
          <w:szCs w:val="32"/>
          <w:lang/>
        </w:rPr>
        <w:t>政府采购货物支出</w:t>
      </w:r>
      <w:r>
        <w:rPr>
          <w:rFonts w:ascii="仿宋_GB2312" w:eastAsia="仿宋_GB2312" w:hAnsi="仿宋_GB2312" w:cs="仿宋_GB2312"/>
          <w:color w:val="000000"/>
          <w:kern w:val="0"/>
          <w:sz w:val="32"/>
          <w:szCs w:val="32"/>
          <w:lang/>
        </w:rPr>
        <w:t>0</w:t>
      </w:r>
      <w:r>
        <w:rPr>
          <w:rFonts w:ascii="仿宋_GB2312" w:eastAsia="仿宋_GB2312" w:hAnsi="仿宋_GB2312" w:cs="仿宋_GB2312"/>
          <w:color w:val="000000"/>
          <w:kern w:val="0"/>
          <w:sz w:val="32"/>
          <w:szCs w:val="32"/>
          <w:lang/>
        </w:rPr>
        <w:t>万元、政府采购工程支出</w:t>
      </w:r>
      <w:r>
        <w:rPr>
          <w:rFonts w:ascii="仿宋_GB2312" w:eastAsia="仿宋_GB2312" w:hAnsi="仿宋_GB2312" w:cs="仿宋_GB2312"/>
          <w:color w:val="000000"/>
          <w:kern w:val="0"/>
          <w:sz w:val="32"/>
          <w:szCs w:val="32"/>
          <w:lang/>
        </w:rPr>
        <w:t>0</w:t>
      </w:r>
      <w:r>
        <w:rPr>
          <w:rFonts w:ascii="仿宋_GB2312" w:eastAsia="仿宋_GB2312" w:hAnsi="仿宋_GB2312" w:cs="仿宋_GB2312"/>
          <w:color w:val="000000"/>
          <w:kern w:val="0"/>
          <w:sz w:val="32"/>
          <w:szCs w:val="32"/>
          <w:lang/>
        </w:rPr>
        <w:t>万元、政府采购服务支出</w:t>
      </w:r>
      <w:r>
        <w:rPr>
          <w:rFonts w:ascii="仿宋_GB2312" w:eastAsia="仿宋_GB2312" w:hAnsi="仿宋_GB2312" w:cs="仿宋_GB2312"/>
          <w:color w:val="000000"/>
          <w:kern w:val="0"/>
          <w:sz w:val="32"/>
          <w:szCs w:val="32"/>
          <w:lang/>
        </w:rPr>
        <w:t xml:space="preserve"> 0</w:t>
      </w:r>
      <w:r>
        <w:rPr>
          <w:rFonts w:ascii="仿宋_GB2312" w:eastAsia="仿宋_GB2312" w:hAnsi="仿宋_GB2312" w:cs="仿宋_GB2312"/>
          <w:color w:val="000000"/>
          <w:kern w:val="0"/>
          <w:sz w:val="32"/>
          <w:szCs w:val="32"/>
          <w:lang/>
        </w:rPr>
        <w:t>万元。授予中小企业合同金</w:t>
      </w:r>
      <w:r>
        <w:rPr>
          <w:rFonts w:ascii="仿宋_GB2312" w:eastAsia="仿宋_GB2312" w:hAnsi="仿宋_GB2312" w:cs="仿宋_GB2312"/>
          <w:color w:val="000000"/>
          <w:kern w:val="0"/>
          <w:sz w:val="32"/>
          <w:szCs w:val="32"/>
          <w:lang/>
        </w:rPr>
        <w:t>0</w:t>
      </w:r>
      <w:r>
        <w:rPr>
          <w:rFonts w:ascii="仿宋_GB2312" w:eastAsia="仿宋_GB2312" w:hAnsi="仿宋_GB2312" w:cs="仿宋_GB2312"/>
          <w:color w:val="000000"/>
          <w:kern w:val="0"/>
          <w:sz w:val="32"/>
          <w:szCs w:val="32"/>
          <w:lang/>
        </w:rPr>
        <w:t>万元，占政府采购支出总额的</w:t>
      </w:r>
      <w:r>
        <w:rPr>
          <w:rFonts w:ascii="仿宋_GB2312" w:eastAsia="仿宋_GB2312" w:hAnsi="仿宋_GB2312" w:cs="仿宋_GB2312"/>
          <w:color w:val="000000"/>
          <w:kern w:val="0"/>
          <w:sz w:val="32"/>
          <w:szCs w:val="32"/>
          <w:lang/>
        </w:rPr>
        <w:t>0</w:t>
      </w:r>
      <w:r>
        <w:rPr>
          <w:rFonts w:ascii="仿宋_GB2312" w:eastAsia="仿宋_GB2312" w:hAnsi="仿宋_GB2312" w:cs="仿宋_GB2312" w:hint="eastAsia"/>
          <w:color w:val="000000"/>
          <w:kern w:val="0"/>
          <w:sz w:val="32"/>
          <w:szCs w:val="32"/>
          <w:lang/>
        </w:rPr>
        <w:t>%</w:t>
      </w:r>
      <w:r>
        <w:rPr>
          <w:rFonts w:ascii="仿宋_GB2312" w:eastAsia="仿宋_GB2312" w:hAnsi="仿宋_GB2312" w:cs="仿宋_GB2312" w:hint="eastAsia"/>
          <w:color w:val="000000"/>
          <w:kern w:val="0"/>
          <w:sz w:val="32"/>
          <w:szCs w:val="32"/>
          <w:lang/>
        </w:rPr>
        <w:t>，</w:t>
      </w:r>
      <w:r>
        <w:rPr>
          <w:rFonts w:ascii="仿宋_GB2312" w:eastAsia="仿宋_GB2312" w:hAnsi="仿宋_GB2312" w:cs="仿宋_GB2312"/>
          <w:color w:val="000000"/>
          <w:kern w:val="0"/>
          <w:sz w:val="32"/>
          <w:szCs w:val="32"/>
          <w:lang/>
        </w:rPr>
        <w:t>其中授予小微企业合同金额</w:t>
      </w:r>
      <w:r>
        <w:rPr>
          <w:rFonts w:ascii="仿宋_GB2312" w:eastAsia="仿宋_GB2312" w:hAnsi="仿宋_GB2312" w:cs="仿宋_GB2312"/>
          <w:color w:val="000000"/>
          <w:kern w:val="0"/>
          <w:sz w:val="32"/>
          <w:szCs w:val="32"/>
          <w:lang/>
        </w:rPr>
        <w:t>0</w:t>
      </w:r>
      <w:r>
        <w:rPr>
          <w:rFonts w:ascii="仿宋_GB2312" w:eastAsia="仿宋_GB2312" w:hAnsi="仿宋_GB2312" w:cs="仿宋_GB2312"/>
          <w:color w:val="000000"/>
          <w:kern w:val="0"/>
          <w:sz w:val="32"/>
          <w:szCs w:val="32"/>
          <w:lang/>
        </w:rPr>
        <w:t>万元，占政府采购支出总额的</w:t>
      </w:r>
      <w:r>
        <w:rPr>
          <w:rFonts w:ascii="仿宋_GB2312" w:eastAsia="仿宋_GB2312" w:hAnsi="仿宋_GB2312" w:cs="仿宋_GB2312"/>
          <w:color w:val="000000"/>
          <w:kern w:val="0"/>
          <w:sz w:val="32"/>
          <w:szCs w:val="32"/>
          <w:lang/>
        </w:rPr>
        <w:t>0%</w:t>
      </w:r>
      <w:r>
        <w:rPr>
          <w:rFonts w:ascii="仿宋_GB2312" w:eastAsia="仿宋_GB2312" w:hAnsi="仿宋_GB2312" w:cs="仿宋_GB2312"/>
          <w:color w:val="000000"/>
          <w:kern w:val="0"/>
          <w:sz w:val="32"/>
          <w:szCs w:val="32"/>
          <w:lang/>
        </w:rPr>
        <w:t>。</w:t>
      </w:r>
    </w:p>
    <w:p w:rsidR="002E7545" w:rsidRDefault="00A918A2">
      <w:pPr>
        <w:snapToGrid w:val="0"/>
        <w:spacing w:line="580" w:lineRule="exact"/>
        <w:ind w:firstLineChars="200" w:firstLine="640"/>
        <w:jc w:val="left"/>
        <w:rPr>
          <w:rFonts w:ascii="仿宋_GB2312" w:eastAsia="仿宋_GB2312" w:hAnsi="Times New Roman" w:cs="DengXian-Regular"/>
          <w:sz w:val="32"/>
          <w:szCs w:val="32"/>
          <w:highlight w:val="yellow"/>
        </w:rPr>
      </w:pPr>
      <w:r>
        <w:rPr>
          <w:rFonts w:ascii="黑体" w:eastAsia="黑体" w:hAnsi="Calibri" w:cs="Times New Roman" w:hint="eastAsia"/>
          <w:sz w:val="32"/>
          <w:szCs w:val="32"/>
        </w:rPr>
        <w:t>九、国有资产占用情况</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截至</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w:t>
      </w:r>
      <w:r>
        <w:rPr>
          <w:rFonts w:ascii="仿宋_GB2312" w:eastAsia="仿宋_GB2312" w:hAnsi="Times New Roman" w:cs="DengXian-Regular" w:hint="eastAsia"/>
          <w:sz w:val="32"/>
          <w:szCs w:val="32"/>
        </w:rPr>
        <w:t>12</w:t>
      </w:r>
      <w:r>
        <w:rPr>
          <w:rFonts w:ascii="仿宋_GB2312" w:eastAsia="仿宋_GB2312" w:hAnsi="Times New Roman" w:cs="DengXian-Regular" w:hint="eastAsia"/>
          <w:sz w:val="32"/>
          <w:szCs w:val="32"/>
        </w:rPr>
        <w:t>月</w:t>
      </w:r>
      <w:r>
        <w:rPr>
          <w:rFonts w:ascii="仿宋_GB2312" w:eastAsia="仿宋_GB2312" w:hAnsi="Times New Roman" w:cs="DengXian-Regular" w:hint="eastAsia"/>
          <w:sz w:val="32"/>
          <w:szCs w:val="32"/>
        </w:rPr>
        <w:t>31</w:t>
      </w:r>
      <w:r>
        <w:rPr>
          <w:rFonts w:ascii="仿宋_GB2312" w:eastAsia="仿宋_GB2312" w:hAnsi="Times New Roman" w:cs="DengXian-Regular" w:hint="eastAsia"/>
          <w:sz w:val="32"/>
          <w:szCs w:val="32"/>
        </w:rPr>
        <w:t>日，本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共有车辆</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辆，比上年增加（减少）</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辆，主要是</w:t>
      </w:r>
      <w:r>
        <w:rPr>
          <w:rFonts w:ascii="仿宋_GB2312" w:eastAsia="仿宋_GB2312" w:hAnsi="仿宋_GB2312" w:cs="仿宋_GB2312" w:hint="eastAsia"/>
          <w:sz w:val="32"/>
          <w:szCs w:val="32"/>
        </w:rPr>
        <w:t>本</w:t>
      </w:r>
      <w:r>
        <w:rPr>
          <w:rFonts w:ascii="仿宋_GB2312" w:eastAsia="仿宋_GB2312" w:hAnsi="Times New Roman" w:cs="DengXian-Regular" w:hint="eastAsia"/>
          <w:sz w:val="32"/>
          <w:szCs w:val="32"/>
        </w:rPr>
        <w:t>单位</w:t>
      </w:r>
      <w:r>
        <w:rPr>
          <w:rFonts w:ascii="仿宋_GB2312" w:eastAsia="仿宋_GB2312" w:hAnsi="仿宋_GB2312" w:cs="仿宋_GB2312" w:hint="eastAsia"/>
          <w:sz w:val="32"/>
          <w:szCs w:val="32"/>
        </w:rPr>
        <w:t>没有公务用车。</w:t>
      </w:r>
    </w:p>
    <w:p w:rsidR="002E7545" w:rsidRDefault="00A918A2">
      <w:pPr>
        <w:adjustRightInd w:val="0"/>
        <w:snapToGrid w:val="0"/>
        <w:spacing w:line="580" w:lineRule="exact"/>
        <w:ind w:firstLineChars="200" w:firstLine="640"/>
        <w:rPr>
          <w:rFonts w:ascii="仿宋_GB2312" w:eastAsia="仿宋_GB2312" w:hAnsi="仿宋_GB2312" w:cs="仿宋_GB2312"/>
          <w:b/>
          <w:bCs/>
          <w:sz w:val="32"/>
          <w:szCs w:val="32"/>
        </w:rPr>
      </w:pPr>
      <w:r>
        <w:rPr>
          <w:rFonts w:ascii="仿宋_GB2312" w:eastAsia="仿宋_GB2312" w:hAnsi="Times New Roman" w:cs="DengXian-Regular" w:hint="eastAsia"/>
          <w:sz w:val="32"/>
          <w:szCs w:val="32"/>
        </w:rPr>
        <w:t>单位价值</w:t>
      </w:r>
      <w:r>
        <w:rPr>
          <w:rFonts w:ascii="仿宋_GB2312" w:eastAsia="仿宋_GB2312" w:hAnsi="TimesNewRomanPSMT" w:cs="TimesNewRomanPSMT" w:hint="eastAsia"/>
          <w:sz w:val="32"/>
          <w:szCs w:val="32"/>
        </w:rPr>
        <w:t>50</w:t>
      </w:r>
      <w:r>
        <w:rPr>
          <w:rFonts w:ascii="仿宋_GB2312" w:eastAsia="仿宋_GB2312" w:hAnsi="Times New Roman" w:cs="DengXian-Regular" w:hint="eastAsia"/>
          <w:sz w:val="32"/>
          <w:szCs w:val="32"/>
        </w:rPr>
        <w:t>万元以上通用设备</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台（套），与上年持平，主</w:t>
      </w:r>
      <w:r>
        <w:rPr>
          <w:rFonts w:ascii="仿宋_GB2312" w:eastAsia="仿宋_GB2312" w:hAnsi="Times New Roman" w:cs="DengXian-Regular" w:hint="eastAsia"/>
          <w:sz w:val="32"/>
          <w:szCs w:val="32"/>
        </w:rPr>
        <w:lastRenderedPageBreak/>
        <w:t>要是</w:t>
      </w:r>
      <w:r>
        <w:rPr>
          <w:rFonts w:ascii="仿宋_GB2312" w:eastAsia="仿宋_GB2312" w:hAnsi="仿宋_GB2312" w:cs="仿宋_GB2312" w:hint="eastAsia"/>
          <w:sz w:val="32"/>
          <w:szCs w:val="32"/>
        </w:rPr>
        <w:t>没有单位价值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hint="eastAsia"/>
          <w:sz w:val="32"/>
          <w:szCs w:val="32"/>
        </w:rPr>
        <w:t xml:space="preserve"> </w:t>
      </w:r>
      <w:r>
        <w:rPr>
          <w:rFonts w:ascii="仿宋_GB2312" w:eastAsia="仿宋_GB2312" w:hAnsi="Times New Roman" w:cs="DengXian-Regular" w:hint="eastAsia"/>
          <w:sz w:val="32"/>
          <w:szCs w:val="32"/>
        </w:rPr>
        <w:t>，单位价值</w:t>
      </w:r>
      <w:r>
        <w:rPr>
          <w:rFonts w:ascii="仿宋_GB2312" w:eastAsia="仿宋_GB2312" w:hAnsi="TimesNewRomanPSMT" w:cs="TimesNewRomanPSMT" w:hint="eastAsia"/>
          <w:sz w:val="32"/>
          <w:szCs w:val="32"/>
        </w:rPr>
        <w:t>100</w:t>
      </w:r>
      <w:r>
        <w:rPr>
          <w:rFonts w:ascii="仿宋_GB2312" w:eastAsia="仿宋_GB2312" w:hAnsi="Times New Roman" w:cs="DengXian-Regular" w:hint="eastAsia"/>
          <w:sz w:val="32"/>
          <w:szCs w:val="32"/>
        </w:rPr>
        <w:t>万元以上专用设备</w:t>
      </w:r>
      <w:r>
        <w:rPr>
          <w:rFonts w:ascii="仿宋_GB2312" w:eastAsia="仿宋_GB2312" w:hAnsi="Times New Roman" w:cs="DengXian-Regular"/>
          <w:sz w:val="32"/>
          <w:szCs w:val="32"/>
        </w:rPr>
        <w:t>0</w:t>
      </w:r>
      <w:r>
        <w:rPr>
          <w:rFonts w:ascii="仿宋_GB2312" w:eastAsia="仿宋_GB2312" w:hAnsi="Times New Roman" w:cs="DengXian-Regular" w:hint="eastAsia"/>
          <w:sz w:val="32"/>
          <w:szCs w:val="32"/>
        </w:rPr>
        <w:t>台（套）与上年持平，主要是</w:t>
      </w:r>
      <w:r>
        <w:rPr>
          <w:rFonts w:ascii="仿宋_GB2312" w:eastAsia="仿宋_GB2312" w:hAnsi="仿宋_GB2312" w:cs="仿宋_GB2312" w:hint="eastAsia"/>
          <w:sz w:val="32"/>
          <w:szCs w:val="32"/>
        </w:rPr>
        <w:t>没有单位价值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万元以上专用设备。</w:t>
      </w:r>
    </w:p>
    <w:p w:rsidR="002E7545" w:rsidRDefault="00A918A2">
      <w:pPr>
        <w:adjustRightInd w:val="0"/>
        <w:snapToGrid w:val="0"/>
        <w:spacing w:line="580" w:lineRule="exact"/>
        <w:ind w:firstLineChars="200" w:firstLine="640"/>
        <w:rPr>
          <w:rFonts w:ascii="楷体_GB2312" w:eastAsia="楷体_GB2312" w:hAnsi="Times New Roman" w:cs="DengXian-Bold"/>
          <w:b/>
          <w:bCs/>
          <w:sz w:val="32"/>
          <w:szCs w:val="32"/>
        </w:rPr>
      </w:pPr>
      <w:r>
        <w:rPr>
          <w:rFonts w:ascii="黑体" w:eastAsia="黑体" w:hAnsi="Calibri" w:cs="Times New Roman" w:hint="eastAsia"/>
          <w:sz w:val="32"/>
          <w:szCs w:val="32"/>
        </w:rPr>
        <w:t>十、其他需要说明的情况</w:t>
      </w:r>
    </w:p>
    <w:p w:rsidR="002E7545" w:rsidRDefault="00A918A2">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Times New Roman" w:cs="DengXian-Regular" w:hint="eastAsia"/>
          <w:sz w:val="32"/>
          <w:szCs w:val="32"/>
        </w:rPr>
        <w:t xml:space="preserve">1. </w:t>
      </w: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bookmarkStart w:id="3" w:name="_GoBack"/>
      <w:bookmarkEnd w:id="3"/>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w:t>
      </w:r>
      <w:r>
        <w:rPr>
          <w:rFonts w:ascii="仿宋_GB2312" w:eastAsia="仿宋_GB2312" w:hAnsi="仿宋_GB2312" w:cs="仿宋_GB2312" w:hint="eastAsia"/>
          <w:sz w:val="32"/>
          <w:szCs w:val="32"/>
        </w:rPr>
        <w:t>未发生国有资金经营预算收支及结转结余情况，故国有资本经营预算财政拨款支出决算表以空表列示</w:t>
      </w:r>
      <w:r>
        <w:rPr>
          <w:rFonts w:ascii="仿宋" w:eastAsia="仿宋" w:hAnsi="仿宋" w:cs="仿宋" w:hint="eastAsia"/>
          <w:sz w:val="32"/>
          <w:szCs w:val="32"/>
        </w:rPr>
        <w:t>。</w:t>
      </w:r>
    </w:p>
    <w:p w:rsidR="002E7545" w:rsidRDefault="00A918A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 xml:space="preserve">2. </w:t>
      </w:r>
      <w:r>
        <w:rPr>
          <w:rFonts w:ascii="仿宋_GB2312" w:eastAsia="仿宋_GB2312" w:hAnsi="Times New Roman" w:cs="DengXian-Regular" w:hint="eastAsia"/>
          <w:sz w:val="32"/>
          <w:szCs w:val="32"/>
        </w:rPr>
        <w:t>由于决算公开表格中金额数值应当保留两位小数，公开数据为四舍五入计算结果，个别数据合计项与分项之和存在小数点后差额，特此说明。</w:t>
      </w:r>
    </w:p>
    <w:p w:rsidR="002E7545" w:rsidRDefault="002E7545">
      <w:pPr>
        <w:widowControl/>
        <w:spacing w:line="580" w:lineRule="exact"/>
        <w:ind w:firstLineChars="200" w:firstLine="883"/>
        <w:jc w:val="left"/>
        <w:rPr>
          <w:rFonts w:ascii="宋体" w:eastAsia="宋体" w:hAnsi="宋体" w:cs="MS-UIGothic,Bold"/>
          <w:b/>
          <w:bCs/>
          <w:kern w:val="0"/>
          <w:sz w:val="44"/>
          <w:szCs w:val="44"/>
        </w:rPr>
      </w:pPr>
    </w:p>
    <w:p w:rsidR="002E7545" w:rsidRDefault="002E7545">
      <w:pPr>
        <w:rPr>
          <w:rFonts w:ascii="仿宋_GB2312" w:eastAsia="仿宋_GB2312" w:hAnsi="宋体" w:cs="ArialUnicodeMS"/>
          <w:sz w:val="32"/>
          <w:szCs w:val="32"/>
        </w:rPr>
      </w:pPr>
    </w:p>
    <w:p w:rsidR="002E7545" w:rsidRDefault="002E7545">
      <w:pPr>
        <w:rPr>
          <w:rFonts w:ascii="仿宋_GB2312" w:eastAsia="仿宋_GB2312" w:hAnsi="宋体" w:cs="ArialUnicodeMS"/>
          <w:sz w:val="32"/>
          <w:szCs w:val="32"/>
        </w:rPr>
      </w:pPr>
    </w:p>
    <w:p w:rsidR="002E7545" w:rsidRDefault="002E7545">
      <w:pPr>
        <w:rPr>
          <w:rFonts w:ascii="仿宋_GB2312" w:eastAsia="仿宋_GB2312" w:hAnsi="宋体" w:cs="ArialUnicodeMS"/>
          <w:sz w:val="32"/>
          <w:szCs w:val="32"/>
        </w:rPr>
      </w:pPr>
    </w:p>
    <w:p w:rsidR="002E7545" w:rsidRDefault="002E7545">
      <w:pPr>
        <w:rPr>
          <w:rFonts w:ascii="仿宋_GB2312" w:eastAsia="仿宋_GB2312" w:hAnsi="宋体" w:cs="ArialUnicodeMS"/>
          <w:sz w:val="32"/>
          <w:szCs w:val="32"/>
        </w:rPr>
      </w:pPr>
    </w:p>
    <w:p w:rsidR="002E7545" w:rsidRDefault="002E7545">
      <w:pPr>
        <w:rPr>
          <w:rFonts w:ascii="仿宋_GB2312" w:eastAsia="仿宋_GB2312" w:hAnsi="宋体" w:cs="ArialUnicodeMS"/>
          <w:sz w:val="32"/>
          <w:szCs w:val="32"/>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2E7545">
      <w:pPr>
        <w:widowControl/>
        <w:jc w:val="center"/>
        <w:rPr>
          <w:rFonts w:ascii="黑体" w:eastAsia="黑体" w:hAnsi="黑体" w:cs="黑体"/>
          <w:color w:val="000000" w:themeColor="text1"/>
          <w:sz w:val="44"/>
          <w:szCs w:val="44"/>
        </w:rPr>
      </w:pPr>
    </w:p>
    <w:p w:rsidR="002E7545" w:rsidRDefault="00A918A2">
      <w:pPr>
        <w:widowControl/>
        <w:jc w:val="center"/>
        <w:rPr>
          <w:sz w:val="44"/>
          <w:szCs w:val="44"/>
        </w:rPr>
      </w:pPr>
      <w:r>
        <w:rPr>
          <w:rFonts w:ascii="黑体" w:eastAsia="黑体" w:hAnsi="黑体" w:cs="黑体" w:hint="eastAsia"/>
          <w:color w:val="000000" w:themeColor="text1"/>
          <w:sz w:val="44"/>
          <w:szCs w:val="44"/>
        </w:rPr>
        <w:t>第四部分</w:t>
      </w:r>
      <w:r>
        <w:rPr>
          <w:rFonts w:ascii="黑体" w:eastAsia="黑体" w:hAnsi="黑体" w:cs="黑体" w:hint="eastAsia"/>
          <w:color w:val="000000" w:themeColor="text1"/>
          <w:sz w:val="44"/>
          <w:szCs w:val="44"/>
        </w:rPr>
        <w:t xml:space="preserve"> </w:t>
      </w:r>
      <w:r>
        <w:rPr>
          <w:rFonts w:ascii="黑体" w:eastAsia="黑体" w:hAnsi="黑体" w:cs="黑体" w:hint="eastAsia"/>
          <w:color w:val="000000" w:themeColor="text1"/>
          <w:sz w:val="44"/>
          <w:szCs w:val="44"/>
        </w:rPr>
        <w:t>相关名词解释</w:t>
      </w:r>
    </w:p>
    <w:p w:rsidR="002E7545" w:rsidRDefault="002E7545">
      <w:pPr>
        <w:rPr>
          <w:rFonts w:ascii="仿宋_GB2312" w:eastAsia="仿宋_GB2312" w:hAnsi="宋体" w:cs="ArialUnicodeMS"/>
          <w:sz w:val="32"/>
          <w:szCs w:val="32"/>
        </w:rPr>
      </w:pPr>
    </w:p>
    <w:p w:rsidR="002E7545" w:rsidRDefault="00A918A2">
      <w:pPr>
        <w:rPr>
          <w:rFonts w:ascii="仿宋_GB2312" w:eastAsia="仿宋_GB2312" w:hAnsi="宋体" w:cs="ArialUnicodeMS"/>
          <w:sz w:val="32"/>
          <w:szCs w:val="32"/>
        </w:rPr>
      </w:pPr>
      <w:r>
        <w:rPr>
          <w:rFonts w:ascii="仿宋_GB2312" w:eastAsia="仿宋_GB2312" w:hAnsi="宋体" w:cs="Times New Roman" w:hint="eastAsia"/>
          <w:noProof/>
          <w:color w:val="000000"/>
          <w:kern w:val="0"/>
          <w:sz w:val="32"/>
          <w:szCs w:val="32"/>
        </w:rPr>
        <w:drawing>
          <wp:anchor distT="0" distB="0" distL="114300" distR="114300" simplePos="0" relativeHeight="251657728" behindDoc="0" locked="0" layoutInCell="1" allowOverlap="1">
            <wp:simplePos x="0" y="0"/>
            <wp:positionH relativeFrom="column">
              <wp:posOffset>406400</wp:posOffset>
            </wp:positionH>
            <wp:positionV relativeFrom="margin">
              <wp:posOffset>3327400</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41" cstate="print">
                      <a:extLst>
                        <a:ext uri="{96DAC541-7B7A-43D3-8B79-37D633B846F1}">
                          <asvg:svgBlip xmlns:asvg="http://schemas.microsoft.com/office/drawing/2016/SVG/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r:embed="rId42"/>
                        </a:ext>
                      </a:extLst>
                    </a:blip>
                    <a:stretch>
                      <a:fillRect/>
                    </a:stretch>
                  </pic:blipFill>
                  <pic:spPr>
                    <a:xfrm>
                      <a:off x="0" y="0"/>
                      <a:ext cx="640080" cy="640080"/>
                    </a:xfrm>
                    <a:prstGeom prst="rect">
                      <a:avLst/>
                    </a:prstGeom>
                  </pic:spPr>
                </pic:pic>
              </a:graphicData>
            </a:graphic>
          </wp:anchor>
        </w:drawing>
      </w:r>
      <w:r>
        <w:rPr>
          <w:rFonts w:ascii="仿宋_GB2312" w:eastAsia="仿宋_GB2312" w:hAnsi="宋体" w:cs="ArialUnicodeMS" w:hint="eastAsia"/>
          <w:sz w:val="32"/>
          <w:szCs w:val="32"/>
        </w:rPr>
        <w:br w:type="page"/>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（一）财政拨款收入：</w:t>
      </w:r>
      <w:r>
        <w:rPr>
          <w:rFonts w:ascii="仿宋_GB2312" w:eastAsia="仿宋_GB2312" w:hAnsi="宋体" w:cs="Times New Roman" w:hint="eastAsia"/>
          <w:color w:val="000000"/>
          <w:kern w:val="0"/>
          <w:sz w:val="32"/>
          <w:szCs w:val="32"/>
        </w:rPr>
        <w:t>本年度从本级财政部门取得的财政拨款，包括一般公共预算财政拨款和政府性基金预算财政拨款。</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（二）事业收入：</w:t>
      </w:r>
      <w:r>
        <w:rPr>
          <w:rFonts w:ascii="仿宋_GB2312" w:eastAsia="仿宋_GB2312" w:hAnsi="宋体" w:cs="Times New Roman" w:hint="eastAsia"/>
          <w:color w:val="000000"/>
          <w:kern w:val="0"/>
          <w:sz w:val="32"/>
          <w:szCs w:val="32"/>
        </w:rPr>
        <w:t>指事业单位开展专业业务活动及辅助活动所取得的收入。</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（三）其他收入：</w:t>
      </w:r>
      <w:r>
        <w:rPr>
          <w:rFonts w:ascii="仿宋_GB2312" w:eastAsia="仿宋_GB2312" w:hAnsi="宋体" w:cs="Times New Roman" w:hint="eastAsia"/>
          <w:color w:val="000000"/>
          <w:kern w:val="0"/>
          <w:sz w:val="32"/>
          <w:szCs w:val="32"/>
        </w:rPr>
        <w:t>指除上述“财政拨款收入”“事业收入”“经营收入”等以外的收入。</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（四）用事业基金弥补收支差额：</w:t>
      </w:r>
      <w:r>
        <w:rPr>
          <w:rFonts w:ascii="仿宋_GB2312" w:eastAsia="仿宋_GB2312" w:hAnsi="宋体" w:cs="Times New Roman" w:hint="eastAsia"/>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（五）年初结转和结余：</w:t>
      </w:r>
      <w:r>
        <w:rPr>
          <w:rFonts w:ascii="仿宋_GB2312" w:eastAsia="仿宋_GB2312" w:hAnsi="宋体" w:cs="Times New Roman" w:hint="eastAsia"/>
          <w:color w:val="000000"/>
          <w:kern w:val="0"/>
          <w:sz w:val="32"/>
          <w:szCs w:val="32"/>
        </w:rPr>
        <w:t>指以前年度尚未完成、结转到本年仍按原规定用途继续使用的资金，或项目已完成等产生的结余资金。</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（六）结余分配：</w:t>
      </w:r>
      <w:r>
        <w:rPr>
          <w:rFonts w:ascii="仿宋_GB2312" w:eastAsia="仿宋_GB2312" w:hAnsi="宋体" w:cs="Times New Roman" w:hint="eastAsia"/>
          <w:color w:val="000000"/>
          <w:kern w:val="0"/>
          <w:sz w:val="32"/>
          <w:szCs w:val="32"/>
        </w:rPr>
        <w:t>指事业单位按照事业单位会计制度的规定从非财政补助结余中分配的事业基金和职工福利基金等。</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（七）年末结转和结余：</w:t>
      </w:r>
      <w:r>
        <w:rPr>
          <w:rFonts w:ascii="仿宋_GB2312" w:eastAsia="仿宋_GB2312" w:hAnsi="宋体" w:cs="Times New Roman" w:hint="eastAsia"/>
          <w:color w:val="000000"/>
          <w:kern w:val="0"/>
          <w:sz w:val="32"/>
          <w:szCs w:val="32"/>
        </w:rPr>
        <w:t>指单位按有关规定结转</w:t>
      </w:r>
      <w:r>
        <w:rPr>
          <w:rFonts w:ascii="仿宋_GB2312" w:eastAsia="仿宋_GB2312" w:hAnsi="宋体" w:cs="Times New Roman" w:hint="eastAsia"/>
          <w:color w:val="000000"/>
          <w:kern w:val="0"/>
          <w:sz w:val="32"/>
          <w:szCs w:val="32"/>
        </w:rPr>
        <w:t>到下年或以后年度继续使用的资金，或项目已完成等产生的结余资金。</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（八）基本支出：</w:t>
      </w:r>
      <w:r>
        <w:rPr>
          <w:rFonts w:ascii="仿宋_GB2312" w:eastAsia="仿宋_GB2312" w:hAnsi="宋体" w:cs="Times New Roman" w:hint="eastAsia"/>
          <w:color w:val="000000"/>
          <w:kern w:val="0"/>
          <w:sz w:val="32"/>
          <w:szCs w:val="32"/>
        </w:rPr>
        <w:t>填列单位为保障机构正常运转、完成日常工作任务而发生的各项支出。</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（九）项目支出：</w:t>
      </w:r>
      <w:r>
        <w:rPr>
          <w:rFonts w:ascii="仿宋_GB2312" w:eastAsia="仿宋_GB2312" w:hAnsi="宋体" w:cs="Times New Roman" w:hint="eastAsia"/>
          <w:color w:val="000000"/>
          <w:kern w:val="0"/>
          <w:sz w:val="32"/>
          <w:szCs w:val="32"/>
        </w:rPr>
        <w:t>填列单位为完成特定的行政工作任务或事业发展目标，在基本支出之外发生的各项支出</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（十）基本建设支出：</w:t>
      </w:r>
      <w:r>
        <w:rPr>
          <w:rFonts w:ascii="仿宋_GB2312" w:eastAsia="仿宋_GB2312" w:hAnsi="宋体" w:cs="Times New Roman" w:hint="eastAsia"/>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（十一）其他资本性支出：</w:t>
      </w:r>
      <w:r>
        <w:rPr>
          <w:rFonts w:ascii="仿宋_GB2312" w:eastAsia="仿宋_GB2312" w:hAnsi="宋体" w:cs="Times New Roman" w:hint="eastAsia"/>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rsidR="002E7545" w:rsidRDefault="00A918A2">
      <w:pPr>
        <w:snapToGrid w:val="0"/>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（十二）“三公”经费：</w:t>
      </w:r>
      <w:r>
        <w:rPr>
          <w:rFonts w:ascii="仿宋_GB2312" w:eastAsia="仿宋_GB2312" w:hAnsi="宋体" w:cs="Times New Roman" w:hint="eastAsia"/>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rsidR="002E7545" w:rsidRDefault="00A918A2">
      <w:pPr>
        <w:snapToGrid w:val="0"/>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（十三）其他交通费用：</w:t>
      </w:r>
      <w:r>
        <w:rPr>
          <w:rFonts w:ascii="仿宋_GB2312" w:eastAsia="仿宋_GB2312" w:hAnsi="宋体" w:cs="Times New Roman" w:hint="eastAsia"/>
          <w:color w:val="000000"/>
          <w:kern w:val="0"/>
          <w:sz w:val="32"/>
          <w:szCs w:val="32"/>
        </w:rPr>
        <w:t>填列单位除公务用车运行维护费以外的其他交通费用。如公务交通补贴、租车费用、出租车费用，飞机、船</w:t>
      </w:r>
      <w:r>
        <w:rPr>
          <w:rFonts w:ascii="仿宋_GB2312" w:eastAsia="仿宋_GB2312" w:hAnsi="宋体" w:cs="Times New Roman" w:hint="eastAsia"/>
          <w:color w:val="000000"/>
          <w:kern w:val="0"/>
          <w:sz w:val="32"/>
          <w:szCs w:val="32"/>
        </w:rPr>
        <w:t>舶等燃料费、维修费、保险费等。</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（十四）公务用车购置：</w:t>
      </w:r>
      <w:r>
        <w:rPr>
          <w:rFonts w:ascii="仿宋_GB2312" w:eastAsia="仿宋_GB2312" w:hAnsi="宋体" w:cs="Times New Roman" w:hint="eastAsia"/>
          <w:color w:val="000000"/>
          <w:kern w:val="0"/>
          <w:sz w:val="32"/>
          <w:szCs w:val="32"/>
        </w:rPr>
        <w:t>填列单位公务用车车辆购置支出（含车辆购置税、牌照费）。</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（十五）其他交通工具购置：</w:t>
      </w:r>
      <w:r>
        <w:rPr>
          <w:rFonts w:ascii="仿宋_GB2312" w:eastAsia="仿宋_GB2312" w:hAnsi="宋体" w:cs="Times New Roman" w:hint="eastAsia"/>
          <w:color w:val="000000"/>
          <w:kern w:val="0"/>
          <w:sz w:val="32"/>
          <w:szCs w:val="32"/>
        </w:rPr>
        <w:t>填列单位除公务用车外的其他各类交通工具（如船舶、飞机等）购置支出（含车辆购置税、牌照费）。</w:t>
      </w:r>
    </w:p>
    <w:p w:rsidR="002E7545" w:rsidRDefault="00A918A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（十六）机关运行经费：</w:t>
      </w:r>
      <w:r>
        <w:rPr>
          <w:rFonts w:ascii="仿宋_GB2312" w:eastAsia="仿宋_GB2312" w:hAnsi="宋体" w:cs="Times New Roman" w:hint="eastAsia"/>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rsidR="002E7545" w:rsidRDefault="00A918A2">
      <w:pPr>
        <w:tabs>
          <w:tab w:val="left" w:pos="235"/>
        </w:tabs>
        <w:ind w:firstLineChars="200" w:firstLine="643"/>
        <w:jc w:val="left"/>
        <w:rPr>
          <w:rFonts w:ascii="仿宋_GB2312" w:eastAsia="仿宋_GB2312" w:hAnsi="Cambria" w:cs="ArialUnicodeMS"/>
          <w:kern w:val="0"/>
          <w:sz w:val="32"/>
          <w:szCs w:val="32"/>
        </w:rPr>
      </w:pPr>
      <w:r>
        <w:rPr>
          <w:rFonts w:ascii="仿宋_GB2312" w:eastAsia="仿宋_GB2312" w:hAnsi="宋体" w:cs="Times New Roman" w:hint="eastAsia"/>
          <w:b/>
          <w:bCs/>
          <w:color w:val="000000"/>
          <w:kern w:val="0"/>
          <w:sz w:val="32"/>
          <w:szCs w:val="32"/>
        </w:rPr>
        <w:t>（</w:t>
      </w:r>
      <w:r>
        <w:rPr>
          <w:rFonts w:ascii="仿宋_GB2312" w:eastAsia="仿宋_GB2312" w:hAnsi="宋体" w:cs="Times New Roman" w:hint="eastAsia"/>
          <w:b/>
          <w:bCs/>
          <w:color w:val="000000"/>
          <w:kern w:val="0"/>
          <w:sz w:val="32"/>
          <w:szCs w:val="32"/>
        </w:rPr>
        <w:t>十七）经费形式</w:t>
      </w:r>
      <w:r>
        <w:rPr>
          <w:rFonts w:ascii="仿宋_GB2312" w:eastAsia="仿宋_GB2312" w:hAnsi="宋体" w:cs="Times New Roman" w:hint="eastAsia"/>
          <w:b/>
          <w:bCs/>
          <w:color w:val="000000"/>
          <w:kern w:val="0"/>
          <w:sz w:val="32"/>
          <w:szCs w:val="32"/>
        </w:rPr>
        <w:t>:</w:t>
      </w:r>
      <w:r>
        <w:rPr>
          <w:rFonts w:ascii="仿宋_GB2312" w:eastAsia="仿宋_GB2312" w:hAnsi="宋体" w:cs="Times New Roman" w:hint="eastAsia"/>
          <w:color w:val="000000"/>
          <w:kern w:val="0"/>
          <w:sz w:val="32"/>
          <w:szCs w:val="32"/>
        </w:rPr>
        <w:t>按照经费来源，</w:t>
      </w:r>
      <w:r>
        <w:rPr>
          <w:rFonts w:ascii="仿宋_GB2312" w:eastAsia="仿宋_GB2312" w:hAnsi="Cambria" w:cs="ArialUnicodeMS" w:hint="eastAsia"/>
          <w:kern w:val="0"/>
          <w:sz w:val="32"/>
          <w:szCs w:val="32"/>
        </w:rPr>
        <w:t>可分为财政拨款、财政性资金基本保证、财政性资金定额或定项补助、财政性资金零补助四类</w:t>
      </w:r>
    </w:p>
    <w:p w:rsidR="002E7545" w:rsidRDefault="002E7545"/>
    <w:sectPr w:rsidR="002E7545" w:rsidSect="002E7545">
      <w:pgSz w:w="11906" w:h="16838"/>
      <w:pgMar w:top="2041" w:right="1531" w:bottom="204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8A2" w:rsidRDefault="00A918A2" w:rsidP="002E7545">
      <w:r>
        <w:separator/>
      </w:r>
    </w:p>
  </w:endnote>
  <w:endnote w:type="continuationSeparator" w:id="0">
    <w:p w:rsidR="00A918A2" w:rsidRDefault="00A918A2" w:rsidP="002E75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楷体_GB2312">
    <w:altName w:val="楷体"/>
    <w:charset w:val="86"/>
    <w:family w:val="modern"/>
    <w:pitch w:val="default"/>
    <w:sig w:usb0="00000000" w:usb1="00000000" w:usb2="00000010" w:usb3="00000000" w:csb0="00040000" w:csb1="00000000"/>
  </w:font>
  <w:font w:name="思源黑体 CN Heavy">
    <w:altName w:val="黑体"/>
    <w:charset w:val="86"/>
    <w:family w:val="swiss"/>
    <w:pitch w:val="default"/>
    <w:sig w:usb0="00000000" w:usb1="00000000" w:usb2="00000016" w:usb3="00000000" w:csb0="00060107" w:csb1="00000000"/>
  </w:font>
  <w:font w:name="思源黑体 CN Bold">
    <w:altName w:val="黑体"/>
    <w:charset w:val="86"/>
    <w:family w:val="swiss"/>
    <w:pitch w:val="default"/>
    <w:sig w:usb0="00000000" w:usb1="00000000" w:usb2="00000016" w:usb3="00000000" w:csb0="00060107" w:csb1="00000000"/>
  </w:font>
  <w:font w:name="方正魏碑简体">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ArialUnicodeMS">
    <w:altName w:val="Malgun Gothic"/>
    <w:charset w:val="81"/>
    <w:family w:val="auto"/>
    <w:pitch w:val="default"/>
    <w:sig w:usb0="00000000" w:usb1="00000000" w:usb2="00000010" w:usb3="00000000" w:csb0="00080001" w:csb1="00000000"/>
  </w:font>
  <w:font w:name="Cambria">
    <w:panose1 w:val="02040503050406030204"/>
    <w:charset w:val="00"/>
    <w:family w:val="roman"/>
    <w:pitch w:val="variable"/>
    <w:sig w:usb0="E00002FF" w:usb1="400004FF" w:usb2="00000000" w:usb3="00000000" w:csb0="0000019F" w:csb1="00000000"/>
  </w:font>
  <w:font w:name="DengXian-Regular">
    <w:altName w:val="宋体"/>
    <w:charset w:val="86"/>
    <w:family w:val="auto"/>
    <w:pitch w:val="default"/>
    <w:sig w:usb0="00000000" w:usb1="00000000" w:usb2="00000010" w:usb3="00000000" w:csb0="00040001" w:csb1="00000000"/>
  </w:font>
  <w:font w:name="DengXian-Bold">
    <w:altName w:val="宋体"/>
    <w:charset w:val="86"/>
    <w:family w:val="auto"/>
    <w:pitch w:val="default"/>
    <w:sig w:usb0="00000000" w:usb1="00000000" w:usb2="00000010" w:usb3="00000000" w:csb0="00040001" w:csb1="00000000"/>
  </w:font>
  <w:font w:name="方正小标宋_GBK">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86"/>
    <w:family w:val="auto"/>
    <w:pitch w:val="default"/>
    <w:sig w:usb0="00000000" w:usb1="00000000" w:usb2="00000010" w:usb3="00000000" w:csb0="00040000" w:csb1="00000000"/>
  </w:font>
  <w:font w:name="MS-UIGothic,Bold">
    <w:altName w:val="Malgun Gothic"/>
    <w:charset w:val="81"/>
    <w:family w:val="auto"/>
    <w:pitch w:val="default"/>
    <w:sig w:usb0="00000000" w:usb1="0000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8A2" w:rsidRDefault="00A918A2" w:rsidP="002E7545">
      <w:r>
        <w:separator/>
      </w:r>
    </w:p>
  </w:footnote>
  <w:footnote w:type="continuationSeparator" w:id="0">
    <w:p w:rsidR="00A918A2" w:rsidRDefault="00A918A2" w:rsidP="002E75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45" w:rsidRDefault="002E754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suff w:val="nothing"/>
      <w:lvlText w:val="（%1）"/>
      <w:lvlJc w:val="left"/>
      <w:pPr>
        <w:ind w:left="0" w:firstLine="0"/>
      </w:p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45DB9A87"/>
    <w:multiLevelType w:val="singleLevel"/>
    <w:tmpl w:val="45DB9A87"/>
    <w:lvl w:ilvl="0">
      <w:start w:val="3"/>
      <w:numFmt w:val="chineseCounting"/>
      <w:suff w:val="nothing"/>
      <w:lvlText w:val="（%1）"/>
      <w:lvlJc w:val="left"/>
      <w:rPr>
        <w:rFonts w:hint="eastAsia"/>
      </w:rPr>
    </w:lvl>
  </w:abstractNum>
  <w:num w:numId="1">
    <w:abstractNumId w:val="1"/>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jb3VudCI6NjUsImhkaWQiOiI4YTMxYTIxZjI1ZTJiZTJiYTg3NTg4ZWIyOGVjMDEyYyIsInVzZXJDb3VudCI6MX0="/>
  </w:docVars>
  <w:rsids>
    <w:rsidRoot w:val="00172A27"/>
    <w:rsid w:val="00002495"/>
    <w:rsid w:val="000031F7"/>
    <w:rsid w:val="00014862"/>
    <w:rsid w:val="00025200"/>
    <w:rsid w:val="00056847"/>
    <w:rsid w:val="000F7B89"/>
    <w:rsid w:val="0014374A"/>
    <w:rsid w:val="00172A27"/>
    <w:rsid w:val="00287BC6"/>
    <w:rsid w:val="00296361"/>
    <w:rsid w:val="002E7545"/>
    <w:rsid w:val="00333933"/>
    <w:rsid w:val="0039461F"/>
    <w:rsid w:val="00411954"/>
    <w:rsid w:val="004550B9"/>
    <w:rsid w:val="004938E3"/>
    <w:rsid w:val="004F084E"/>
    <w:rsid w:val="0050622E"/>
    <w:rsid w:val="0051575E"/>
    <w:rsid w:val="00541817"/>
    <w:rsid w:val="00550337"/>
    <w:rsid w:val="005B2633"/>
    <w:rsid w:val="00663586"/>
    <w:rsid w:val="00697657"/>
    <w:rsid w:val="006E6662"/>
    <w:rsid w:val="007B4464"/>
    <w:rsid w:val="00896712"/>
    <w:rsid w:val="008C6ECB"/>
    <w:rsid w:val="008E5668"/>
    <w:rsid w:val="009718A8"/>
    <w:rsid w:val="00A042D2"/>
    <w:rsid w:val="00A13740"/>
    <w:rsid w:val="00A57278"/>
    <w:rsid w:val="00A66109"/>
    <w:rsid w:val="00A918A2"/>
    <w:rsid w:val="00A92E76"/>
    <w:rsid w:val="00B01E5B"/>
    <w:rsid w:val="00B86E38"/>
    <w:rsid w:val="00BE75D3"/>
    <w:rsid w:val="00C06E4E"/>
    <w:rsid w:val="00C21492"/>
    <w:rsid w:val="00C418F5"/>
    <w:rsid w:val="00C93C9E"/>
    <w:rsid w:val="00CC2CB5"/>
    <w:rsid w:val="00CE4C2D"/>
    <w:rsid w:val="00CE755E"/>
    <w:rsid w:val="00CF14F4"/>
    <w:rsid w:val="00CF1C8D"/>
    <w:rsid w:val="00D264B9"/>
    <w:rsid w:val="00DA0B17"/>
    <w:rsid w:val="00DA2DAB"/>
    <w:rsid w:val="00DF42C4"/>
    <w:rsid w:val="00DF688D"/>
    <w:rsid w:val="00E614A6"/>
    <w:rsid w:val="00E669B9"/>
    <w:rsid w:val="00E86E79"/>
    <w:rsid w:val="00F46213"/>
    <w:rsid w:val="00FC3F68"/>
    <w:rsid w:val="018E53BB"/>
    <w:rsid w:val="01B752BF"/>
    <w:rsid w:val="02F2691F"/>
    <w:rsid w:val="03B506A8"/>
    <w:rsid w:val="05273E55"/>
    <w:rsid w:val="06EB1AB6"/>
    <w:rsid w:val="073E570C"/>
    <w:rsid w:val="099D6B31"/>
    <w:rsid w:val="09FD66D9"/>
    <w:rsid w:val="0A9C6536"/>
    <w:rsid w:val="10B242CF"/>
    <w:rsid w:val="11F4604E"/>
    <w:rsid w:val="136D16FB"/>
    <w:rsid w:val="13AA21BF"/>
    <w:rsid w:val="1A3D2C72"/>
    <w:rsid w:val="216937C4"/>
    <w:rsid w:val="22385898"/>
    <w:rsid w:val="298605CB"/>
    <w:rsid w:val="2CEF036C"/>
    <w:rsid w:val="2FDF53B9"/>
    <w:rsid w:val="308B0D67"/>
    <w:rsid w:val="32A31C4C"/>
    <w:rsid w:val="32B53CA7"/>
    <w:rsid w:val="33CD2241"/>
    <w:rsid w:val="34967CFD"/>
    <w:rsid w:val="39C2416B"/>
    <w:rsid w:val="39CF1585"/>
    <w:rsid w:val="3B744E3E"/>
    <w:rsid w:val="3D595762"/>
    <w:rsid w:val="3DC91A1B"/>
    <w:rsid w:val="3F235BB1"/>
    <w:rsid w:val="3F663581"/>
    <w:rsid w:val="42A44BF6"/>
    <w:rsid w:val="4571549B"/>
    <w:rsid w:val="471274FD"/>
    <w:rsid w:val="49717ADD"/>
    <w:rsid w:val="4A51609B"/>
    <w:rsid w:val="4C194D3B"/>
    <w:rsid w:val="4D304C6C"/>
    <w:rsid w:val="4F07173C"/>
    <w:rsid w:val="4F2A6A41"/>
    <w:rsid w:val="500373A2"/>
    <w:rsid w:val="53AD746D"/>
    <w:rsid w:val="561769D4"/>
    <w:rsid w:val="58D844B0"/>
    <w:rsid w:val="5BEA6B3A"/>
    <w:rsid w:val="5F4A1A8C"/>
    <w:rsid w:val="60075621"/>
    <w:rsid w:val="602001C2"/>
    <w:rsid w:val="60602BF4"/>
    <w:rsid w:val="60CE32E1"/>
    <w:rsid w:val="64C00985"/>
    <w:rsid w:val="65225D26"/>
    <w:rsid w:val="65396F98"/>
    <w:rsid w:val="65DB5CBA"/>
    <w:rsid w:val="674E6C15"/>
    <w:rsid w:val="67636EEB"/>
    <w:rsid w:val="697609B2"/>
    <w:rsid w:val="69F4671F"/>
    <w:rsid w:val="6CBF282C"/>
    <w:rsid w:val="73335BEE"/>
    <w:rsid w:val="734B3BFA"/>
    <w:rsid w:val="73753308"/>
    <w:rsid w:val="78294721"/>
    <w:rsid w:val="78726082"/>
    <w:rsid w:val="79442C5B"/>
    <w:rsid w:val="7AF2772B"/>
    <w:rsid w:val="7BB011B5"/>
    <w:rsid w:val="7C2A2F43"/>
    <w:rsid w:val="7EAD45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semiHidden="0"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545"/>
    <w:pPr>
      <w:widowControl w:val="0"/>
      <w:jc w:val="both"/>
    </w:pPr>
    <w:rPr>
      <w:kern w:val="2"/>
      <w:sz w:val="21"/>
      <w:szCs w:val="22"/>
    </w:rPr>
  </w:style>
  <w:style w:type="paragraph" w:styleId="1">
    <w:name w:val="heading 1"/>
    <w:basedOn w:val="a"/>
    <w:next w:val="a"/>
    <w:qFormat/>
    <w:rsid w:val="002E7545"/>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rsid w:val="002E7545"/>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2E7545"/>
    <w:rPr>
      <w:rFonts w:asciiTheme="majorHAnsi" w:eastAsia="黑体" w:hAnsiTheme="majorHAnsi" w:cstheme="majorBidi"/>
      <w:sz w:val="20"/>
      <w:szCs w:val="20"/>
    </w:rPr>
  </w:style>
  <w:style w:type="paragraph" w:styleId="a4">
    <w:name w:val="annotation text"/>
    <w:basedOn w:val="a"/>
    <w:link w:val="Char"/>
    <w:uiPriority w:val="99"/>
    <w:semiHidden/>
    <w:unhideWhenUsed/>
    <w:rsid w:val="002E7545"/>
    <w:pPr>
      <w:jc w:val="left"/>
    </w:pPr>
  </w:style>
  <w:style w:type="paragraph" w:styleId="a5">
    <w:name w:val="footer"/>
    <w:basedOn w:val="a"/>
    <w:qFormat/>
    <w:rsid w:val="002E7545"/>
    <w:pPr>
      <w:tabs>
        <w:tab w:val="center" w:pos="4153"/>
        <w:tab w:val="right" w:pos="8306"/>
      </w:tabs>
      <w:snapToGrid w:val="0"/>
      <w:jc w:val="left"/>
    </w:pPr>
    <w:rPr>
      <w:sz w:val="18"/>
      <w:szCs w:val="18"/>
    </w:rPr>
  </w:style>
  <w:style w:type="paragraph" w:styleId="a6">
    <w:name w:val="header"/>
    <w:basedOn w:val="a"/>
    <w:qFormat/>
    <w:rsid w:val="002E7545"/>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18"/>
      <w:szCs w:val="18"/>
    </w:rPr>
  </w:style>
  <w:style w:type="paragraph" w:styleId="a7">
    <w:name w:val="annotation subject"/>
    <w:basedOn w:val="a4"/>
    <w:next w:val="a4"/>
    <w:link w:val="Char0"/>
    <w:uiPriority w:val="99"/>
    <w:semiHidden/>
    <w:unhideWhenUsed/>
    <w:rsid w:val="002E7545"/>
    <w:rPr>
      <w:b/>
      <w:bCs/>
    </w:rPr>
  </w:style>
  <w:style w:type="table" w:styleId="a8">
    <w:name w:val="Table Grid"/>
    <w:qFormat/>
    <w:rsid w:val="002E7545"/>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annotation reference"/>
    <w:basedOn w:val="a0"/>
    <w:uiPriority w:val="99"/>
    <w:semiHidden/>
    <w:unhideWhenUsed/>
    <w:rsid w:val="002E7545"/>
    <w:rPr>
      <w:sz w:val="21"/>
      <w:szCs w:val="21"/>
    </w:rPr>
  </w:style>
  <w:style w:type="paragraph" w:customStyle="1" w:styleId="10">
    <w:name w:val="列表段落1"/>
    <w:basedOn w:val="a"/>
    <w:qFormat/>
    <w:rsid w:val="002E7545"/>
    <w:pPr>
      <w:ind w:firstLineChars="200" w:firstLine="420"/>
    </w:pPr>
    <w:rPr>
      <w:rFonts w:ascii="Calibri" w:eastAsia="宋体" w:hAnsi="Calibri" w:cs="黑体"/>
      <w:szCs w:val="24"/>
    </w:rPr>
  </w:style>
  <w:style w:type="character" w:customStyle="1" w:styleId="Char">
    <w:name w:val="批注文字 Char"/>
    <w:basedOn w:val="a0"/>
    <w:link w:val="a4"/>
    <w:uiPriority w:val="99"/>
    <w:semiHidden/>
    <w:rsid w:val="002E7545"/>
    <w:rPr>
      <w:kern w:val="2"/>
      <w:sz w:val="21"/>
      <w:szCs w:val="22"/>
    </w:rPr>
  </w:style>
  <w:style w:type="character" w:customStyle="1" w:styleId="Char0">
    <w:name w:val="批注主题 Char"/>
    <w:basedOn w:val="Char"/>
    <w:link w:val="a7"/>
    <w:uiPriority w:val="99"/>
    <w:semiHidden/>
    <w:rsid w:val="002E7545"/>
    <w:rPr>
      <w:b/>
      <w:bCs/>
      <w:kern w:val="2"/>
      <w:sz w:val="21"/>
      <w:szCs w:val="22"/>
    </w:rPr>
  </w:style>
  <w:style w:type="paragraph" w:styleId="aa">
    <w:name w:val="Balloon Text"/>
    <w:basedOn w:val="a"/>
    <w:link w:val="Char1"/>
    <w:uiPriority w:val="99"/>
    <w:semiHidden/>
    <w:unhideWhenUsed/>
    <w:rsid w:val="00DA2DAB"/>
    <w:rPr>
      <w:sz w:val="18"/>
      <w:szCs w:val="18"/>
    </w:rPr>
  </w:style>
  <w:style w:type="character" w:customStyle="1" w:styleId="Char1">
    <w:name w:val="批注框文本 Char"/>
    <w:basedOn w:val="a0"/>
    <w:link w:val="aa"/>
    <w:uiPriority w:val="99"/>
    <w:semiHidden/>
    <w:rsid w:val="00DA2DA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footer" Target="footer4.xml"/><Relationship Id="rId39" Type="http://schemas.openxmlformats.org/officeDocument/2006/relationships/chart" Target="charts/chart6.xml"/><Relationship Id="rId3" Type="http://schemas.openxmlformats.org/officeDocument/2006/relationships/numbering" Target="numbering.xml"/><Relationship Id="rId21" Type="http://schemas.openxmlformats.org/officeDocument/2006/relationships/image" Target="media/image4.png"/><Relationship Id="rId34" Type="http://schemas.openxmlformats.org/officeDocument/2006/relationships/chart" Target="charts/chart1.xml"/><Relationship Id="rId42" Type="http://schemas.openxmlformats.org/officeDocument/2006/relationships/image" Target="media/image14.svg"/><Relationship Id="rId7"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image" Target="media/image12.svg"/><Relationship Id="rId38" Type="http://schemas.openxmlformats.org/officeDocument/2006/relationships/chart" Target="charts/chart5.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29" Type="http://schemas.openxmlformats.org/officeDocument/2006/relationships/image" Target="media/image6.png"/><Relationship Id="rId41"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footer" Target="footer3.xml"/><Relationship Id="rId32" Type="http://schemas.openxmlformats.org/officeDocument/2006/relationships/image" Target="media/image7.png"/><Relationship Id="rId37" Type="http://schemas.openxmlformats.org/officeDocument/2006/relationships/chart" Target="charts/chart4.xml"/><Relationship Id="rId40" Type="http://schemas.openxmlformats.org/officeDocument/2006/relationships/chart" Target="charts/chart7.xml"/><Relationship Id="rId5" Type="http://schemas.openxmlformats.org/officeDocument/2006/relationships/settings" Target="settings.xml"/><Relationship Id="rId15" Type="http://schemas.openxmlformats.org/officeDocument/2006/relationships/image" Target="media/image3.svg"/><Relationship Id="rId23" Type="http://schemas.openxmlformats.org/officeDocument/2006/relationships/header" Target="header3.xml"/><Relationship Id="rId28" Type="http://schemas.openxmlformats.org/officeDocument/2006/relationships/image" Target="media/image8.svg"/><Relationship Id="rId36" Type="http://schemas.openxmlformats.org/officeDocument/2006/relationships/chart" Target="charts/chart3.xml"/><Relationship Id="rId10" Type="http://schemas.openxmlformats.org/officeDocument/2006/relationships/image" Target="media/image2.png"/><Relationship Id="rId19" Type="http://schemas.openxmlformats.org/officeDocument/2006/relationships/header" Target="header2.xml"/><Relationship Id="rId31" Type="http://schemas.openxmlformats.org/officeDocument/2006/relationships/header" Target="header5.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22" Type="http://schemas.openxmlformats.org/officeDocument/2006/relationships/image" Target="media/image6.svg"/><Relationship Id="rId27" Type="http://schemas.openxmlformats.org/officeDocument/2006/relationships/image" Target="media/image5.png"/><Relationship Id="rId30" Type="http://schemas.openxmlformats.org/officeDocument/2006/relationships/image" Target="media/image10.svg"/><Relationship Id="rId35" Type="http://schemas.openxmlformats.org/officeDocument/2006/relationships/chart" Target="charts/chart2.xml"/><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1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1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41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51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61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Workbook717.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cat>
            <c:strRef>
              <c:f>Sheet1!$G$5:$H$5</c:f>
              <c:strCache>
                <c:ptCount val="2"/>
                <c:pt idx="0">
                  <c:v>财政拨款收入</c:v>
                </c:pt>
                <c:pt idx="1">
                  <c:v>事业收入</c:v>
                </c:pt>
              </c:strCache>
            </c:strRef>
          </c:cat>
          <c:val>
            <c:numRef>
              <c:f>Sheet1!$G$6:$H$6</c:f>
              <c:numCache>
                <c:formatCode>0%</c:formatCode>
                <c:ptCount val="2"/>
                <c:pt idx="0">
                  <c:v>0.88</c:v>
                </c:pt>
                <c:pt idx="1">
                  <c:v>0.12000000000000002</c:v>
                </c:pt>
              </c:numCache>
            </c:numRef>
          </c:val>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zh-CN"/>
  <c:chart>
    <c:title>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barChart>
        <c:barDir val="col"/>
        <c:grouping val="clustered"/>
        <c:ser>
          <c:idx val="0"/>
          <c:order val="0"/>
          <c:tx>
            <c:strRef>
              <c:f>Sheet1!$C$10</c:f>
              <c:strCache>
                <c:ptCount val="1"/>
                <c:pt idx="0">
                  <c:v>2020年度</c:v>
                </c:pt>
              </c:strCache>
            </c:strRef>
          </c:tx>
          <c:spPr>
            <a:solidFill>
              <a:schemeClr val="accent1"/>
            </a:solidFill>
            <a:ln>
              <a:noFill/>
            </a:ln>
            <a:effectLst/>
          </c:spPr>
          <c:cat>
            <c:strRef>
              <c:f>Sheet1!$D$9:$E$9</c:f>
              <c:strCache>
                <c:ptCount val="2"/>
                <c:pt idx="0">
                  <c:v>财政拨款收入</c:v>
                </c:pt>
                <c:pt idx="1">
                  <c:v>财政拨款支出</c:v>
                </c:pt>
              </c:strCache>
            </c:strRef>
          </c:cat>
          <c:val>
            <c:numRef>
              <c:f>Sheet1!$D$10:$E$10</c:f>
              <c:numCache>
                <c:formatCode>General</c:formatCode>
                <c:ptCount val="2"/>
                <c:pt idx="0">
                  <c:v>1136.3</c:v>
                </c:pt>
                <c:pt idx="1">
                  <c:v>1136.3</c:v>
                </c:pt>
              </c:numCache>
            </c:numRef>
          </c:val>
        </c:ser>
        <c:ser>
          <c:idx val="1"/>
          <c:order val="1"/>
          <c:tx>
            <c:strRef>
              <c:f>Sheet1!$C$11</c:f>
              <c:strCache>
                <c:ptCount val="1"/>
                <c:pt idx="0">
                  <c:v>2021年度</c:v>
                </c:pt>
              </c:strCache>
            </c:strRef>
          </c:tx>
          <c:spPr>
            <a:solidFill>
              <a:schemeClr val="accent2"/>
            </a:solidFill>
            <a:ln>
              <a:noFill/>
            </a:ln>
            <a:effectLst/>
          </c:spPr>
          <c:cat>
            <c:strRef>
              <c:f>Sheet1!$D$9:$E$9</c:f>
              <c:strCache>
                <c:ptCount val="2"/>
                <c:pt idx="0">
                  <c:v>财政拨款收入</c:v>
                </c:pt>
                <c:pt idx="1">
                  <c:v>财政拨款支出</c:v>
                </c:pt>
              </c:strCache>
            </c:strRef>
          </c:cat>
          <c:val>
            <c:numRef>
              <c:f>Sheet1!$D$11:$E$11</c:f>
              <c:numCache>
                <c:formatCode>General</c:formatCode>
                <c:ptCount val="2"/>
                <c:pt idx="0">
                  <c:v>1103.4000000000001</c:v>
                </c:pt>
                <c:pt idx="1">
                  <c:v>1103.4000000000001</c:v>
                </c:pt>
              </c:numCache>
            </c:numRef>
          </c:val>
        </c:ser>
        <c:gapWidth val="219"/>
        <c:overlap val="-27"/>
        <c:axId val="94640384"/>
        <c:axId val="94654848"/>
      </c:barChart>
      <c:catAx>
        <c:axId val="94640384"/>
        <c:scaling>
          <c:orientation val="minMax"/>
        </c:scaling>
        <c:axPos val="b"/>
        <c:title>
          <c:spPr>
            <a:noFill/>
            <a:ln>
              <a:noFill/>
            </a:ln>
            <a:effectLst/>
          </c:spPr>
          <c:txPr>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94654848"/>
        <c:crosses val="autoZero"/>
        <c:auto val="1"/>
        <c:lblAlgn val="ctr"/>
        <c:lblOffset val="100"/>
      </c:catAx>
      <c:valAx>
        <c:axId val="94654848"/>
        <c:scaling>
          <c:orientation val="minMax"/>
          <c:min val="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9464038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barChart>
        <c:barDir val="col"/>
        <c:grouping val="clustered"/>
        <c:ser>
          <c:idx val="0"/>
          <c:order val="0"/>
          <c:spPr>
            <a:solidFill>
              <a:schemeClr val="accent1"/>
            </a:solidFill>
            <a:ln>
              <a:noFill/>
            </a:ln>
            <a:effectLst/>
          </c:spPr>
          <c:errBars>
            <c:errBarType val="both"/>
            <c:errValType val="stdDev"/>
            <c:val val="1"/>
            <c:spPr>
              <a:noFill/>
              <a:ln w="9525" cap="flat" cmpd="sng" algn="ctr">
                <a:solidFill>
                  <a:schemeClr val="tx1">
                    <a:lumMod val="65000"/>
                    <a:lumOff val="35000"/>
                  </a:schemeClr>
                </a:solidFill>
                <a:round/>
              </a:ln>
              <a:effectLst/>
            </c:spPr>
          </c:errBars>
          <c:cat>
            <c:strRef>
              <c:f>Sheet1!$D$8:$E$8</c:f>
              <c:strCache>
                <c:ptCount val="2"/>
                <c:pt idx="0">
                  <c:v>21年财政拨款收支</c:v>
                </c:pt>
                <c:pt idx="1">
                  <c:v>20年度决算</c:v>
                </c:pt>
              </c:strCache>
            </c:strRef>
          </c:cat>
          <c:val>
            <c:numRef>
              <c:f>Sheet1!$D$9:$E$9</c:f>
              <c:numCache>
                <c:formatCode>General</c:formatCode>
                <c:ptCount val="2"/>
                <c:pt idx="0">
                  <c:v>1103.4000000000001</c:v>
                </c:pt>
                <c:pt idx="1">
                  <c:v>1136.3</c:v>
                </c:pt>
              </c:numCache>
            </c:numRef>
          </c:val>
        </c:ser>
        <c:ser>
          <c:idx val="1"/>
          <c:order val="1"/>
          <c:spPr>
            <a:solidFill>
              <a:schemeClr val="accent2"/>
            </a:solidFill>
            <a:ln>
              <a:noFill/>
            </a:ln>
            <a:effectLst/>
          </c:spPr>
          <c:cat>
            <c:strRef>
              <c:f>Sheet1!$D$8:$E$8</c:f>
              <c:strCache>
                <c:ptCount val="2"/>
                <c:pt idx="0">
                  <c:v>21年财政拨款收支</c:v>
                </c:pt>
                <c:pt idx="1">
                  <c:v>20年度决算</c:v>
                </c:pt>
              </c:strCache>
            </c:strRef>
          </c:cat>
          <c:val>
            <c:numRef>
              <c:f>Sheet1!$D$10:$E$10</c:f>
              <c:numCache>
                <c:formatCode>General</c:formatCode>
                <c:ptCount val="2"/>
                <c:pt idx="0">
                  <c:v>1103.4000000000001</c:v>
                </c:pt>
                <c:pt idx="1">
                  <c:v>1136.3</c:v>
                </c:pt>
              </c:numCache>
            </c:numRef>
          </c:val>
        </c:ser>
        <c:gapWidth val="219"/>
        <c:overlap val="-27"/>
        <c:axId val="108443904"/>
        <c:axId val="108453888"/>
      </c:barChart>
      <c:catAx>
        <c:axId val="108443904"/>
        <c:scaling>
          <c:orientation val="minMax"/>
        </c:scaling>
        <c:delete val="1"/>
        <c:axPos val="b"/>
        <c:numFmt formatCode="General" sourceLinked="1"/>
        <c:tickLblPos val="none"/>
        <c:crossAx val="108453888"/>
        <c:crosses val="autoZero"/>
        <c:auto val="1"/>
        <c:lblAlgn val="ctr"/>
        <c:lblOffset val="100"/>
      </c:catAx>
      <c:valAx>
        <c:axId val="108453888"/>
        <c:scaling>
          <c:orientation val="minMax"/>
          <c:min val="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0844390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barChart>
        <c:barDir val="col"/>
        <c:grouping val="clustered"/>
        <c:ser>
          <c:idx val="0"/>
          <c:order val="0"/>
          <c:spPr>
            <a:solidFill>
              <a:schemeClr val="accent1"/>
            </a:solidFill>
            <a:ln>
              <a:noFill/>
            </a:ln>
            <a:effectLst/>
          </c:spPr>
          <c:cat>
            <c:strRef>
              <c:f>Sheet1!$D$7:$E$8</c:f>
              <c:strCache>
                <c:ptCount val="2"/>
                <c:pt idx="0">
                  <c:v>财政拨款收支</c:v>
                </c:pt>
                <c:pt idx="1">
                  <c:v>年初预算数</c:v>
                </c:pt>
              </c:strCache>
            </c:strRef>
          </c:cat>
          <c:val>
            <c:numRef>
              <c:f>Sheet1!$D$9:$E$9</c:f>
              <c:numCache>
                <c:formatCode>General</c:formatCode>
                <c:ptCount val="2"/>
                <c:pt idx="0">
                  <c:v>1103.4000000000001</c:v>
                </c:pt>
                <c:pt idx="1">
                  <c:v>1119.3</c:v>
                </c:pt>
              </c:numCache>
            </c:numRef>
          </c:val>
        </c:ser>
        <c:ser>
          <c:idx val="1"/>
          <c:order val="1"/>
          <c:spPr>
            <a:solidFill>
              <a:schemeClr val="accent2"/>
            </a:solidFill>
            <a:ln>
              <a:noFill/>
            </a:ln>
            <a:effectLst/>
          </c:spPr>
          <c:cat>
            <c:strRef>
              <c:f>Sheet1!$D$7:$E$8</c:f>
              <c:strCache>
                <c:ptCount val="2"/>
                <c:pt idx="0">
                  <c:v>财政拨款收支</c:v>
                </c:pt>
                <c:pt idx="1">
                  <c:v>年初预算数</c:v>
                </c:pt>
              </c:strCache>
            </c:strRef>
          </c:cat>
          <c:val>
            <c:numRef>
              <c:f>Sheet1!$D$10:$E$10</c:f>
              <c:numCache>
                <c:formatCode>General</c:formatCode>
                <c:ptCount val="2"/>
                <c:pt idx="0">
                  <c:v>1103.4000000000001</c:v>
                </c:pt>
                <c:pt idx="1">
                  <c:v>1119.3</c:v>
                </c:pt>
              </c:numCache>
            </c:numRef>
          </c:val>
        </c:ser>
        <c:gapWidth val="219"/>
        <c:overlap val="-27"/>
        <c:axId val="115120384"/>
        <c:axId val="119758848"/>
      </c:barChart>
      <c:catAx>
        <c:axId val="115120384"/>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19758848"/>
        <c:crosses val="autoZero"/>
        <c:auto val="1"/>
        <c:lblAlgn val="ctr"/>
        <c:lblOffset val="100"/>
      </c:catAx>
      <c:valAx>
        <c:axId val="119758848"/>
        <c:scaling>
          <c:orientation val="minMax"/>
          <c:min val="0"/>
        </c:scaling>
        <c:axPos val="l"/>
        <c:majorGridlines>
          <c:spPr>
            <a:ln w="9525" cap="flat" cmpd="sng" algn="ctr">
              <a:solidFill>
                <a:schemeClr val="tx1">
                  <a:lumMod val="15000"/>
                  <a:lumOff val="85000"/>
                </a:schemeClr>
              </a:solidFill>
              <a:round/>
            </a:ln>
            <a:effectLst/>
          </c:spPr>
        </c:majorGridlines>
        <c:numFmt formatCode="General" sourceLinked="1"/>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1512038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barChart>
        <c:barDir val="col"/>
        <c:grouping val="clustered"/>
        <c:ser>
          <c:idx val="0"/>
          <c:order val="0"/>
          <c:spPr>
            <a:solidFill>
              <a:schemeClr val="accent1"/>
            </a:solidFill>
            <a:ln>
              <a:noFill/>
            </a:ln>
            <a:effectLst/>
          </c:spPr>
          <c:cat>
            <c:strRef>
              <c:f>Sheet1!$D$7:$E$8</c:f>
              <c:strCache>
                <c:ptCount val="2"/>
                <c:pt idx="0">
                  <c:v>财政拨款收支</c:v>
                </c:pt>
                <c:pt idx="1">
                  <c:v>年初预算数</c:v>
                </c:pt>
              </c:strCache>
            </c:strRef>
          </c:cat>
          <c:val>
            <c:numRef>
              <c:f>Sheet1!$D$9:$E$9</c:f>
              <c:numCache>
                <c:formatCode>General</c:formatCode>
                <c:ptCount val="2"/>
                <c:pt idx="0">
                  <c:v>1103.4000000000001</c:v>
                </c:pt>
                <c:pt idx="1">
                  <c:v>1119.3</c:v>
                </c:pt>
              </c:numCache>
            </c:numRef>
          </c:val>
        </c:ser>
        <c:ser>
          <c:idx val="1"/>
          <c:order val="1"/>
          <c:spPr>
            <a:solidFill>
              <a:schemeClr val="accent2"/>
            </a:solidFill>
            <a:ln>
              <a:noFill/>
            </a:ln>
            <a:effectLst/>
          </c:spPr>
          <c:cat>
            <c:strRef>
              <c:f>Sheet1!$D$7:$E$8</c:f>
              <c:strCache>
                <c:ptCount val="2"/>
                <c:pt idx="0">
                  <c:v>财政拨款收支</c:v>
                </c:pt>
                <c:pt idx="1">
                  <c:v>年初预算数</c:v>
                </c:pt>
              </c:strCache>
            </c:strRef>
          </c:cat>
          <c:val>
            <c:numRef>
              <c:f>Sheet1!$D$10:$E$10</c:f>
              <c:numCache>
                <c:formatCode>General</c:formatCode>
                <c:ptCount val="2"/>
                <c:pt idx="0">
                  <c:v>1103.4000000000001</c:v>
                </c:pt>
                <c:pt idx="1">
                  <c:v>1119.3</c:v>
                </c:pt>
              </c:numCache>
            </c:numRef>
          </c:val>
        </c:ser>
        <c:gapWidth val="219"/>
        <c:overlap val="-27"/>
        <c:axId val="172297216"/>
        <c:axId val="170771200"/>
      </c:barChart>
      <c:catAx>
        <c:axId val="172297216"/>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0771200"/>
        <c:crosses val="autoZero"/>
        <c:auto val="1"/>
        <c:lblAlgn val="ctr"/>
        <c:lblOffset val="100"/>
      </c:catAx>
      <c:valAx>
        <c:axId val="170771200"/>
        <c:scaling>
          <c:orientation val="minMax"/>
          <c:min val="0"/>
        </c:scaling>
        <c:axPos val="l"/>
        <c:majorGridlines>
          <c:spPr>
            <a:ln w="9525" cap="flat" cmpd="sng" algn="ctr">
              <a:solidFill>
                <a:schemeClr val="tx1">
                  <a:lumMod val="15000"/>
                  <a:lumOff val="85000"/>
                </a:schemeClr>
              </a:solidFill>
              <a:round/>
            </a:ln>
            <a:effectLst/>
          </c:spPr>
        </c:majorGridlines>
        <c:numFmt formatCode="General" sourceLinked="1"/>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7229721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Sheet1!$D$8:$D$10</c:f>
              <c:strCache>
                <c:ptCount val="3"/>
                <c:pt idx="0">
                  <c:v>工资福利支出</c:v>
                </c:pt>
                <c:pt idx="1">
                  <c:v>商品和服务支出</c:v>
                </c:pt>
                <c:pt idx="2">
                  <c:v>对个人和家庭的补助</c:v>
                </c:pt>
              </c:strCache>
            </c:strRef>
          </c:cat>
          <c:val>
            <c:numRef>
              <c:f>Sheet1!$E$8:$E$10</c:f>
              <c:numCache>
                <c:formatCode>0.0%</c:formatCode>
                <c:ptCount val="3"/>
                <c:pt idx="0">
                  <c:v>0.79500000000000004</c:v>
                </c:pt>
                <c:pt idx="1">
                  <c:v>0.19500000000000001</c:v>
                </c:pt>
                <c:pt idx="2" formatCode="0%">
                  <c:v>1.0000000000000004E-2</c:v>
                </c:pt>
              </c:numCache>
            </c:numRef>
          </c:val>
        </c:ser>
        <c:dLbls>
          <c:showVal val="1"/>
        </c:dLbls>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zh-CN"/>
  <c:clrMapOvr bg1="lt1" tx1="dk1" bg2="lt2" tx2="dk2" accent1="accent1" accent2="accent2" accent3="accent3" accent4="accent4" accent5="accent5" accent6="accent6" hlink="hlink" folHlink="folHlink"/>
  <c:chart>
    <c:title>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Val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Sheet1!$D$8:$D$10</c:f>
              <c:strCache>
                <c:ptCount val="3"/>
                <c:pt idx="0">
                  <c:v>工资福利支出</c:v>
                </c:pt>
                <c:pt idx="1">
                  <c:v>商品和服务支出</c:v>
                </c:pt>
                <c:pt idx="2">
                  <c:v>对个人和家庭的补助</c:v>
                </c:pt>
              </c:strCache>
            </c:strRef>
          </c:cat>
          <c:val>
            <c:numRef>
              <c:f>Sheet1!$E$8:$E$10</c:f>
              <c:numCache>
                <c:formatCode>0.0%</c:formatCode>
                <c:ptCount val="3"/>
                <c:pt idx="0">
                  <c:v>0.79500000000000004</c:v>
                </c:pt>
                <c:pt idx="1">
                  <c:v>0.19500000000000001</c:v>
                </c:pt>
                <c:pt idx="2" formatCode="0%">
                  <c:v>1.0000000000000004E-2</c:v>
                </c:pt>
              </c:numCache>
            </c:numRef>
          </c:val>
        </c:ser>
        <c:dLbls>
          <c:showVal val="1"/>
        </c:dLbls>
        <c:firstSliceAng val="0"/>
      </c:pie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2"/>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462327-5C0B-4B5B-B6AA-2AD33C691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903</Words>
  <Characters>5153</Characters>
  <Application>Microsoft Office Word</Application>
  <DocSecurity>0</DocSecurity>
  <Lines>42</Lines>
  <Paragraphs>12</Paragraphs>
  <ScaleCrop>false</ScaleCrop>
  <Company>神州网信技术有限公司</Company>
  <LinksUpToDate>false</LinksUpToDate>
  <CharactersWithSpaces>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王明新TIAD</dc:creator>
  <cp:lastModifiedBy>Administrator</cp:lastModifiedBy>
  <cp:revision>16</cp:revision>
  <dcterms:created xsi:type="dcterms:W3CDTF">2022-08-11T02:40:00Z</dcterms:created>
  <dcterms:modified xsi:type="dcterms:W3CDTF">2023-07-25T11:13:00Z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TemplateUUID">
    <vt:lpwstr>v1.0_mb_S7ajbG3IpAnL1wSthNCxfw==</vt:lpwstr>
  </property>
  <property fmtid="{D5CDD505-2E9C-101B-9397-08002B2CF9AE}" pid="4" name="ICV">
    <vt:lpwstr>1515CEFC20754C3380B382230295B456</vt:lpwstr>
  </property>
</Properties>
</file>