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360013</w:t>
                            </w:r>
                          </w:p>
                          <w:p>
                            <w:pPr>
                              <w:spacing w:line="600" w:lineRule="auto"/>
                              <w:jc w:val="left"/>
                              <w:rPr>
                                <w:rFonts w:hint="eastAsia" w:ascii="楷体_GB2312" w:hAnsi="楷体_GB2312" w:eastAsia="楷体_GB2312" w:cs="楷体_GB2312"/>
                                <w:color w:val="000000"/>
                                <w:sz w:val="40"/>
                                <w:szCs w:val="40"/>
                                <w:lang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石家庄市藁城区第三中学</w:t>
                            </w:r>
                          </w:p>
                          <w:p>
                            <w:pPr>
                              <w:spacing w:line="600" w:lineRule="auto"/>
                              <w:jc w:val="left"/>
                              <w:rPr>
                                <w:rFonts w:hint="eastAsia" w:ascii="楷体_GB2312" w:hAnsi="楷体_GB2312" w:eastAsia="楷体_GB2312" w:cs="楷体_GB2312"/>
                                <w:color w:val="000000"/>
                                <w:sz w:val="40"/>
                                <w:szCs w:val="40"/>
                                <w:lang w:val="en-US" w:eastAsia="zh-CN"/>
                              </w:rPr>
                            </w:pP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eastAsia"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360013</w:t>
                      </w:r>
                    </w:p>
                    <w:p>
                      <w:pPr>
                        <w:spacing w:line="600" w:lineRule="auto"/>
                        <w:jc w:val="left"/>
                        <w:rPr>
                          <w:rFonts w:hint="eastAsia" w:ascii="楷体_GB2312" w:hAnsi="楷体_GB2312" w:eastAsia="楷体_GB2312" w:cs="楷体_GB2312"/>
                          <w:color w:val="000000"/>
                          <w:sz w:val="40"/>
                          <w:szCs w:val="40"/>
                          <w:lang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石家庄市藁城区第三中学</w:t>
                      </w:r>
                    </w:p>
                    <w:p>
                      <w:pPr>
                        <w:spacing w:line="600" w:lineRule="auto"/>
                        <w:jc w:val="left"/>
                        <w:rPr>
                          <w:rFonts w:hint="eastAsia" w:ascii="楷体_GB2312" w:hAnsi="楷体_GB2312" w:eastAsia="楷体_GB2312" w:cs="楷体_GB2312"/>
                          <w:color w:val="000000"/>
                          <w:sz w:val="40"/>
                          <w:szCs w:val="40"/>
                          <w:lang w:val="en-US" w:eastAsia="zh-CN"/>
                        </w:rPr>
                      </w:pP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3"/>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3"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8"/>
          <w:szCs w:val="48"/>
        </w:rPr>
        <w:drawing>
          <wp:anchor distT="0" distB="0" distL="114300" distR="114300" simplePos="0" relativeHeight="251674624" behindDoc="0" locked="0" layoutInCell="1" allowOverlap="1">
            <wp:simplePos x="0" y="0"/>
            <wp:positionH relativeFrom="column">
              <wp:posOffset>1283335</wp:posOffset>
            </wp:positionH>
            <wp:positionV relativeFrom="margin">
              <wp:posOffset>259080</wp:posOffset>
            </wp:positionV>
            <wp:extent cx="639445" cy="639445"/>
            <wp:effectExtent l="0" t="0" r="8255" b="8255"/>
            <wp:wrapNone/>
            <wp:docPr id="1" name="图片 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2313538393631303b32313538393632373bc4bfc2bc"/>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639445" cy="639445"/>
                    </a:xfrm>
                    <a:prstGeom prst="rect">
                      <a:avLst/>
                    </a:prstGeom>
                  </pic:spPr>
                </pic:pic>
              </a:graphicData>
            </a:graphic>
          </wp:anchor>
        </w:drawing>
      </w: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eastAsia="zh-CN"/>
        </w:rPr>
        <w:t>度</w:t>
      </w:r>
      <w:bookmarkStart w:id="0" w:name="_GoBack"/>
      <w:bookmarkEnd w:id="0"/>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7456"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eastAsia="zh-CN"/>
        </w:rPr>
        <w:t>单位</w:t>
      </w:r>
      <w:r>
        <w:rPr>
          <w:rFonts w:hint="eastAsia" w:ascii="黑体" w:eastAsia="黑体" w:cs="黑体"/>
          <w:b w:val="0"/>
          <w:bCs w:val="0"/>
          <w:kern w:val="0"/>
          <w:sz w:val="32"/>
          <w:szCs w:val="32"/>
        </w:rPr>
        <w:t>职责</w:t>
      </w:r>
    </w:p>
    <w:p>
      <w:pPr>
        <w:spacing w:line="580" w:lineRule="exact"/>
        <w:ind w:firstLine="640" w:firstLineChars="200"/>
        <w:rPr>
          <w:rFonts w:hint="eastAsia" w:ascii="仿宋_GB2312" w:hAnsi="Calibri" w:eastAsia="仿宋_GB2312" w:cs="ArialUnicodeMS"/>
          <w:kern w:val="0"/>
          <w:sz w:val="32"/>
          <w:szCs w:val="32"/>
        </w:rPr>
      </w:pPr>
      <w:r>
        <w:rPr>
          <w:rFonts w:hint="eastAsia" w:ascii="仿宋_GB2312" w:hAnsi="Calibri" w:eastAsia="仿宋_GB2312" w:cs="ArialUnicodeMS"/>
          <w:kern w:val="0"/>
          <w:sz w:val="32"/>
          <w:szCs w:val="32"/>
        </w:rPr>
        <w:t>在政府和上级教育主管部门的领导下，争取资金改善办学条件，为师生的学习和工作提供优美和谐的环境；完成高中阶段的教育教学工作，为国家培养德、智、体、美、劳全面发展的建设者和接班人，为高校输送优秀高中毕业生。</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 xml:space="preserve">决算汇编范围的独立核算单位（以下简称“单位”）共 </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 xml:space="preserve"> 个，具体情况如下：</w:t>
      </w:r>
    </w:p>
    <w:tbl>
      <w:tblPr>
        <w:tblStyle w:val="7"/>
        <w:tblpPr w:leftFromText="180" w:rightFromText="180" w:vertAnchor="text" w:horzAnchor="page" w:tblpX="1044" w:tblpY="684"/>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ascii="仿宋_GB2312" w:hAnsi="Calibri" w:eastAsia="仿宋_GB2312" w:cs="ArialUnicodeMS"/>
                <w:kern w:val="0"/>
                <w:sz w:val="28"/>
                <w:szCs w:val="28"/>
              </w:rPr>
            </w:pPr>
            <w:r>
              <w:rPr>
                <w:rFonts w:hint="eastAsia" w:ascii="仿宋" w:hAnsi="仿宋" w:eastAsia="仿宋" w:cs="仿宋"/>
                <w:color w:val="000000"/>
                <w:kern w:val="0"/>
                <w:szCs w:val="21"/>
              </w:rPr>
              <w:t>石家庄市藁城区第三中学</w:t>
            </w:r>
          </w:p>
        </w:tc>
        <w:tc>
          <w:tcPr>
            <w:tcW w:w="244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财政补助事业单位</w:t>
            </w:r>
          </w:p>
        </w:tc>
        <w:tc>
          <w:tcPr>
            <w:tcW w:w="266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1320" w:firstLineChars="3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Times New Roman" w:hAnsi="Times New Roman" w:eastAsia="黑体" w:cs="Times New Roman"/>
          <w:sz w:val="32"/>
          <w:szCs w:val="32"/>
        </w:rPr>
        <w:drawing>
          <wp:anchor distT="0" distB="0" distL="114300" distR="114300" simplePos="0" relativeHeight="251675648" behindDoc="0" locked="0" layoutInCell="1" allowOverlap="1">
            <wp:simplePos x="0" y="0"/>
            <wp:positionH relativeFrom="column">
              <wp:posOffset>305435</wp:posOffset>
            </wp:positionH>
            <wp:positionV relativeFrom="margin">
              <wp:posOffset>2260600</wp:posOffset>
            </wp:positionV>
            <wp:extent cx="579120" cy="579120"/>
            <wp:effectExtent l="0" t="0" r="11430" b="11430"/>
            <wp:wrapNone/>
            <wp:docPr id="2" name="图片 2" descr="32303235303832303b32303235353434303bcec4bcfeb1edb8f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2303235303832303b32303235353434303bcec4bcfeb1edb8f1"/>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a:off x="0" y="0"/>
                      <a:ext cx="579120" cy="579120"/>
                    </a:xfrm>
                    <a:prstGeom prst="rect">
                      <a:avLst/>
                    </a:prstGeom>
                  </pic:spPr>
                </pic:pic>
              </a:graphicData>
            </a:graphic>
          </wp:anchor>
        </w:drawing>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二</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表</w:t>
      </w:r>
    </w:p>
    <w:p>
      <w:pPr>
        <w:widowControl/>
        <w:spacing w:line="580" w:lineRule="exact"/>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三</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eastAsia="黑体"/>
          <w:sz w:val="32"/>
          <w:szCs w:val="32"/>
        </w:rPr>
        <w:drawing>
          <wp:anchor distT="0" distB="0" distL="114300" distR="114300" simplePos="0" relativeHeight="251668480" behindDoc="0" locked="0" layoutInCell="1" allowOverlap="1">
            <wp:simplePos x="0" y="0"/>
            <wp:positionH relativeFrom="column">
              <wp:posOffset>208280</wp:posOffset>
            </wp:positionH>
            <wp:positionV relativeFrom="margin">
              <wp:posOffset>4022725</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22">
                      <a:extLst>
                        <a:ext uri="{96DAC541-7B7A-43D3-8B79-37D633B846F1}">
                          <asvg:svgBlip xmlns:asvg="http://schemas.microsoft.com/office/drawing/2016/SVG/main" r:embed="rId23"/>
                        </a:ext>
                      </a:extLst>
                    </a:blip>
                    <a:stretch>
                      <a:fillRect/>
                    </a:stretch>
                  </pic:blipFill>
                  <pic:spPr>
                    <a:xfrm>
                      <a:off x="0" y="0"/>
                      <a:ext cx="660400" cy="660400"/>
                    </a:xfrm>
                    <a:prstGeom prst="rect">
                      <a:avLst/>
                    </a:prstGeom>
                  </pic:spPr>
                </pic:pic>
              </a:graphicData>
            </a:graphic>
          </wp:anchor>
        </w:drawing>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3" w:firstLineChars="200"/>
        <w:outlineLvl w:val="1"/>
        <w:rPr>
          <w:rFonts w:hint="eastAsia" w:ascii="仿宋" w:hAnsi="仿宋" w:eastAsia="仿宋" w:cs="仿宋"/>
          <w:b/>
          <w:bCs/>
          <w:sz w:val="32"/>
          <w:szCs w:val="32"/>
        </w:rPr>
      </w:pPr>
      <w:r>
        <w:rPr>
          <w:rFonts w:hint="eastAsia" w:ascii="仿宋" w:hAnsi="仿宋" w:eastAsia="仿宋" w:cs="仿宋"/>
          <w:b/>
          <w:bCs/>
          <w:sz w:val="32"/>
          <w:szCs w:val="32"/>
        </w:rPr>
        <w:t>一、收入</w:t>
      </w:r>
      <w:r>
        <w:rPr>
          <w:rFonts w:hint="eastAsia" w:ascii="仿宋" w:hAnsi="仿宋" w:eastAsia="仿宋" w:cs="仿宋"/>
          <w:b/>
          <w:bCs/>
          <w:kern w:val="0"/>
          <w:sz w:val="32"/>
          <w:szCs w:val="32"/>
        </w:rPr>
        <w:t>支出</w:t>
      </w:r>
      <w:r>
        <w:rPr>
          <w:rFonts w:hint="eastAsia" w:ascii="仿宋" w:hAnsi="仿宋" w:eastAsia="仿宋" w:cs="仿宋"/>
          <w:b/>
          <w:bCs/>
          <w:sz w:val="32"/>
          <w:szCs w:val="32"/>
        </w:rPr>
        <w:t>决算总体情况说明</w:t>
      </w:r>
    </w:p>
    <w:p>
      <w:pPr>
        <w:adjustRightInd w:val="0"/>
        <w:snapToGrid w:val="0"/>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eastAsia="zh-CN"/>
        </w:rPr>
        <w:t>单位</w:t>
      </w:r>
      <w:r>
        <w:rPr>
          <w:rFonts w:hint="eastAsia" w:ascii="仿宋" w:hAnsi="仿宋" w:eastAsia="仿宋" w:cs="仿宋"/>
          <w:sz w:val="32"/>
          <w:szCs w:val="32"/>
        </w:rPr>
        <w:t>2021年度收、支总计（含结转和结余）</w:t>
      </w:r>
      <w:r>
        <w:rPr>
          <w:rFonts w:hint="eastAsia" w:ascii="仿宋" w:hAnsi="仿宋" w:eastAsia="仿宋" w:cs="仿宋"/>
          <w:sz w:val="32"/>
          <w:szCs w:val="32"/>
          <w:lang w:val="en-US" w:eastAsia="zh-CN"/>
        </w:rPr>
        <w:t>1729.34</w:t>
      </w:r>
      <w:r>
        <w:rPr>
          <w:rFonts w:hint="eastAsia" w:ascii="仿宋" w:hAnsi="仿宋" w:eastAsia="仿宋" w:cs="仿宋"/>
          <w:sz w:val="32"/>
          <w:szCs w:val="32"/>
        </w:rPr>
        <w:t>万元。与2020年度决算相比，收支各减少</w:t>
      </w:r>
      <w:r>
        <w:rPr>
          <w:rFonts w:hint="eastAsia" w:ascii="仿宋" w:hAnsi="仿宋" w:eastAsia="仿宋" w:cs="仿宋"/>
          <w:sz w:val="32"/>
          <w:szCs w:val="32"/>
          <w:lang w:val="en-US" w:eastAsia="zh-CN"/>
        </w:rPr>
        <w:t>61.40</w:t>
      </w:r>
      <w:r>
        <w:rPr>
          <w:rFonts w:hint="eastAsia" w:ascii="仿宋" w:hAnsi="仿宋" w:eastAsia="仿宋" w:cs="仿宋"/>
          <w:sz w:val="32"/>
          <w:szCs w:val="32"/>
        </w:rPr>
        <w:t>万元，下降</w:t>
      </w:r>
      <w:r>
        <w:rPr>
          <w:rFonts w:hint="eastAsia" w:ascii="仿宋" w:hAnsi="仿宋" w:eastAsia="仿宋" w:cs="仿宋"/>
          <w:sz w:val="32"/>
          <w:szCs w:val="32"/>
          <w:lang w:val="en-US" w:eastAsia="zh-CN"/>
        </w:rPr>
        <w:t>3.4</w:t>
      </w:r>
      <w:r>
        <w:rPr>
          <w:rFonts w:hint="eastAsia" w:ascii="仿宋" w:hAnsi="仿宋" w:eastAsia="仿宋" w:cs="仿宋"/>
          <w:sz w:val="32"/>
          <w:szCs w:val="32"/>
        </w:rPr>
        <w:t>%，主要原因是</w:t>
      </w:r>
      <w:r>
        <w:rPr>
          <w:rFonts w:hint="eastAsia" w:ascii="仿宋" w:hAnsi="仿宋" w:eastAsia="仿宋" w:cs="仿宋"/>
          <w:sz w:val="32"/>
          <w:szCs w:val="32"/>
          <w:lang w:eastAsia="zh-CN"/>
        </w:rPr>
        <w:t>大型维修项目减少，导致大型维修项目经费减少，收支减少</w:t>
      </w:r>
      <w:r>
        <w:rPr>
          <w:rFonts w:hint="eastAsia" w:ascii="仿宋" w:hAnsi="仿宋" w:eastAsia="仿宋" w:cs="仿宋"/>
          <w:sz w:val="32"/>
          <w:szCs w:val="32"/>
        </w:rPr>
        <w:t>。</w:t>
      </w:r>
    </w:p>
    <w:p>
      <w:pPr>
        <w:keepNext/>
        <w:keepLines/>
        <w:snapToGrid w:val="0"/>
        <w:spacing w:line="580" w:lineRule="exact"/>
        <w:ind w:firstLine="640" w:firstLineChars="200"/>
        <w:outlineLvl w:val="1"/>
        <w:rPr>
          <w:rFonts w:hint="eastAsia" w:ascii="黑体" w:hAnsi="Calibri" w:eastAsia="黑体" w:cs="Times New Roman"/>
          <w:sz w:val="32"/>
          <w:szCs w:val="32"/>
        </w:rPr>
      </w:pPr>
    </w:p>
    <w:p>
      <w:pPr>
        <w:keepNext/>
        <w:keepLines/>
        <w:snapToGrid w:val="0"/>
        <w:spacing w:line="580" w:lineRule="exact"/>
        <w:ind w:firstLine="640" w:firstLineChars="200"/>
        <w:outlineLvl w:val="1"/>
        <w:rPr>
          <w:rFonts w:hint="eastAsia" w:ascii="黑体" w:hAnsi="Calibri" w:eastAsia="黑体" w:cs="Times New Roman"/>
          <w:sz w:val="32"/>
          <w:szCs w:val="32"/>
        </w:rPr>
      </w:pPr>
    </w:p>
    <w:p>
      <w:pPr>
        <w:keepNext/>
        <w:keepLines/>
        <w:snapToGrid w:val="0"/>
        <w:spacing w:line="580" w:lineRule="exact"/>
        <w:ind w:firstLine="640" w:firstLineChars="200"/>
        <w:outlineLvl w:val="1"/>
        <w:rPr>
          <w:rFonts w:hint="eastAsia" w:ascii="黑体" w:hAnsi="Calibri" w:eastAsia="黑体" w:cs="Times New Roman"/>
          <w:sz w:val="32"/>
          <w:szCs w:val="32"/>
        </w:rPr>
      </w:pPr>
    </w:p>
    <w:p>
      <w:pPr>
        <w:keepNext/>
        <w:keepLines/>
        <w:snapToGrid w:val="0"/>
        <w:spacing w:line="580" w:lineRule="exact"/>
        <w:ind w:firstLine="640" w:firstLineChars="200"/>
        <w:outlineLvl w:val="1"/>
        <w:rPr>
          <w:rFonts w:hint="eastAsia" w:ascii="黑体" w:hAnsi="Calibri" w:eastAsia="黑体" w:cs="Times New Roman"/>
          <w:sz w:val="32"/>
          <w:szCs w:val="32"/>
        </w:rPr>
      </w:pPr>
    </w:p>
    <w:p>
      <w:pPr>
        <w:keepNext/>
        <w:keepLines/>
        <w:snapToGrid w:val="0"/>
        <w:spacing w:line="580" w:lineRule="exact"/>
        <w:ind w:firstLine="640" w:firstLineChars="200"/>
        <w:outlineLvl w:val="1"/>
        <w:rPr>
          <w:rFonts w:hint="eastAsia" w:ascii="黑体" w:hAnsi="Calibri" w:eastAsia="黑体" w:cs="Times New Roman"/>
          <w:sz w:val="32"/>
          <w:szCs w:val="32"/>
        </w:rPr>
      </w:pPr>
    </w:p>
    <w:p>
      <w:pPr>
        <w:keepNext/>
        <w:keepLines/>
        <w:snapToGrid w:val="0"/>
        <w:spacing w:line="600" w:lineRule="exact"/>
        <w:ind w:firstLine="1400" w:firstLineChars="500"/>
        <w:outlineLvl w:val="1"/>
        <w:rPr>
          <w:rFonts w:hint="eastAsia" w:ascii="仿宋_GB2312" w:hAnsi="Times New Roman" w:eastAsia="仿宋_GB2312" w:cs="Wingdings"/>
          <w:sz w:val="28"/>
          <w:szCs w:val="28"/>
        </w:rPr>
      </w:pPr>
    </w:p>
    <w:p>
      <w:pPr>
        <w:keepNext/>
        <w:keepLines/>
        <w:snapToGrid w:val="0"/>
        <w:spacing w:line="600" w:lineRule="exact"/>
        <w:ind w:firstLine="1400" w:firstLineChars="500"/>
        <w:outlineLvl w:val="1"/>
        <w:rPr>
          <w:rFonts w:hint="eastAsia" w:ascii="仿宋_GB2312" w:hAnsi="Times New Roman" w:eastAsia="仿宋_GB2312" w:cs="Wingdings"/>
          <w:sz w:val="28"/>
          <w:szCs w:val="28"/>
        </w:rPr>
      </w:pPr>
    </w:p>
    <w:p>
      <w:pPr>
        <w:adjustRightInd w:val="0"/>
        <w:snapToGrid w:val="0"/>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drawing>
          <wp:anchor distT="0" distB="0" distL="114300" distR="114300" simplePos="0" relativeHeight="251673600" behindDoc="1" locked="0" layoutInCell="1" allowOverlap="1">
            <wp:simplePos x="0" y="0"/>
            <wp:positionH relativeFrom="column">
              <wp:posOffset>671195</wp:posOffset>
            </wp:positionH>
            <wp:positionV relativeFrom="paragraph">
              <wp:posOffset>-2453005</wp:posOffset>
            </wp:positionV>
            <wp:extent cx="4572000" cy="2743200"/>
            <wp:effectExtent l="4445" t="4445" r="14605" b="14605"/>
            <wp:wrapTight wrapText="bothSides">
              <wp:wrapPolygon>
                <wp:start x="-21" y="-35"/>
                <wp:lineTo x="-21" y="21565"/>
                <wp:lineTo x="21579" y="21565"/>
                <wp:lineTo x="21579" y="-35"/>
                <wp:lineTo x="-21" y="-35"/>
              </wp:wrapPolygon>
            </wp:wrapTight>
            <wp:docPr id="6158"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Pr>
          <w:rFonts w:hint="eastAsia" w:ascii="仿宋" w:hAnsi="仿宋" w:eastAsia="仿宋" w:cs="仿宋"/>
          <w:sz w:val="32"/>
          <w:szCs w:val="32"/>
        </w:rPr>
        <w:t>图</w:t>
      </w: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2020、2021</w:t>
      </w:r>
      <w:r>
        <w:rPr>
          <w:rFonts w:hint="eastAsia" w:ascii="仿宋" w:hAnsi="仿宋" w:eastAsia="仿宋" w:cs="仿宋"/>
          <w:sz w:val="32"/>
          <w:szCs w:val="32"/>
        </w:rPr>
        <w:t>收</w:t>
      </w:r>
      <w:r>
        <w:rPr>
          <w:rFonts w:hint="eastAsia" w:ascii="仿宋" w:hAnsi="仿宋" w:eastAsia="仿宋" w:cs="仿宋"/>
          <w:sz w:val="32"/>
          <w:szCs w:val="32"/>
          <w:lang w:val="en-US" w:eastAsia="zh-CN"/>
        </w:rPr>
        <w:t>支对比</w:t>
      </w:r>
      <w:r>
        <w:rPr>
          <w:rFonts w:hint="eastAsia" w:ascii="仿宋" w:hAnsi="仿宋" w:eastAsia="仿宋" w:cs="仿宋"/>
          <w:sz w:val="32"/>
          <w:szCs w:val="32"/>
        </w:rPr>
        <w:t>情况</w:t>
      </w:r>
    </w:p>
    <w:p>
      <w:pPr>
        <w:keepNext/>
        <w:keepLines/>
        <w:snapToGrid w:val="0"/>
        <w:spacing w:line="580" w:lineRule="exact"/>
        <w:ind w:firstLine="643" w:firstLineChars="200"/>
        <w:outlineLvl w:val="1"/>
        <w:rPr>
          <w:rFonts w:hint="eastAsia" w:ascii="仿宋" w:hAnsi="仿宋" w:eastAsia="仿宋" w:cs="仿宋"/>
          <w:b/>
          <w:bCs/>
          <w:sz w:val="32"/>
          <w:szCs w:val="32"/>
        </w:rPr>
      </w:pPr>
      <w:r>
        <w:rPr>
          <w:rFonts w:hint="eastAsia" w:ascii="仿宋" w:hAnsi="仿宋" w:eastAsia="仿宋" w:cs="仿宋"/>
          <w:b/>
          <w:bCs/>
          <w:sz w:val="32"/>
          <w:szCs w:val="32"/>
        </w:rPr>
        <w:t>二、收入决算情况说明</w:t>
      </w:r>
    </w:p>
    <w:p>
      <w:pPr>
        <w:adjustRightInd w:val="0"/>
        <w:snapToGrid w:val="0"/>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本</w:t>
      </w:r>
      <w:r>
        <w:rPr>
          <w:rFonts w:hint="eastAsia" w:ascii="仿宋" w:hAnsi="仿宋" w:eastAsia="仿宋" w:cs="仿宋"/>
          <w:sz w:val="32"/>
          <w:szCs w:val="32"/>
          <w:lang w:eastAsia="zh-CN"/>
        </w:rPr>
        <w:t>单位</w:t>
      </w:r>
      <w:r>
        <w:rPr>
          <w:rFonts w:hint="eastAsia" w:ascii="仿宋" w:hAnsi="仿宋" w:eastAsia="仿宋" w:cs="仿宋"/>
          <w:sz w:val="32"/>
          <w:szCs w:val="32"/>
        </w:rPr>
        <w:t>2021年度收入合计</w:t>
      </w:r>
      <w:r>
        <w:rPr>
          <w:rFonts w:hint="eastAsia" w:ascii="仿宋" w:hAnsi="仿宋" w:eastAsia="仿宋" w:cs="仿宋"/>
          <w:sz w:val="32"/>
          <w:szCs w:val="32"/>
          <w:lang w:val="en-US" w:eastAsia="zh-CN"/>
        </w:rPr>
        <w:t>1729.34</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1638.94</w:t>
      </w:r>
      <w:r>
        <w:rPr>
          <w:rFonts w:hint="eastAsia" w:ascii="仿宋" w:hAnsi="仿宋" w:eastAsia="仿宋" w:cs="仿宋"/>
          <w:sz w:val="32"/>
          <w:szCs w:val="32"/>
        </w:rPr>
        <w:t>万元，占</w:t>
      </w:r>
      <w:r>
        <w:rPr>
          <w:rFonts w:hint="eastAsia" w:ascii="仿宋" w:hAnsi="仿宋" w:eastAsia="仿宋" w:cs="仿宋"/>
          <w:sz w:val="32"/>
          <w:szCs w:val="32"/>
          <w:lang w:val="en-US" w:eastAsia="zh-CN"/>
        </w:rPr>
        <w:t>95</w:t>
      </w:r>
      <w:r>
        <w:rPr>
          <w:rFonts w:hint="eastAsia" w:ascii="仿宋" w:hAnsi="仿宋" w:eastAsia="仿宋" w:cs="仿宋"/>
          <w:sz w:val="32"/>
          <w:szCs w:val="32"/>
        </w:rPr>
        <w:t>%；事业收入</w:t>
      </w:r>
      <w:r>
        <w:rPr>
          <w:rFonts w:hint="eastAsia" w:ascii="仿宋" w:hAnsi="仿宋" w:eastAsia="仿宋" w:cs="仿宋"/>
          <w:sz w:val="32"/>
          <w:szCs w:val="32"/>
          <w:lang w:val="en-US" w:eastAsia="zh-CN"/>
        </w:rPr>
        <w:t>90.4</w:t>
      </w:r>
      <w:r>
        <w:rPr>
          <w:rFonts w:hint="eastAsia" w:ascii="仿宋" w:hAnsi="仿宋" w:eastAsia="仿宋" w:cs="仿宋"/>
          <w:sz w:val="32"/>
          <w:szCs w:val="32"/>
        </w:rPr>
        <w:t>万元，占</w:t>
      </w:r>
      <w:r>
        <w:rPr>
          <w:rFonts w:hint="eastAsia" w:ascii="仿宋" w:hAnsi="仿宋" w:eastAsia="仿宋" w:cs="仿宋"/>
          <w:sz w:val="32"/>
          <w:szCs w:val="32"/>
          <w:lang w:val="en-US" w:eastAsia="zh-CN"/>
        </w:rPr>
        <w:t>5</w:t>
      </w:r>
      <w:r>
        <w:rPr>
          <w:rFonts w:hint="eastAsia" w:ascii="仿宋" w:hAnsi="仿宋" w:eastAsia="仿宋" w:cs="仿宋"/>
          <w:sz w:val="32"/>
          <w:szCs w:val="32"/>
        </w:rPr>
        <w:t>%；经营收入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%；其他收入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 w:hAnsi="仿宋" w:eastAsia="仿宋" w:cs="仿宋"/>
          <w:sz w:val="32"/>
          <w:szCs w:val="32"/>
          <w:lang w:val="en-US" w:eastAsia="zh-CN"/>
        </w:rPr>
        <w:t>如图：</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adjustRightInd w:val="0"/>
        <w:snapToGrid w:val="0"/>
        <w:spacing w:line="580" w:lineRule="exact"/>
        <w:rPr>
          <w:rFonts w:hint="eastAsia" w:ascii="仿宋_GB2312" w:hAnsi="Times New Roman" w:eastAsia="仿宋_GB2312" w:cs="DengXian-Regular"/>
          <w:sz w:val="32"/>
          <w:szCs w:val="32"/>
          <w:lang w:val="en-US" w:eastAsia="zh-CN"/>
        </w:rPr>
      </w:pPr>
    </w:p>
    <w:p>
      <w:pPr>
        <w:adjustRightInd w:val="0"/>
        <w:snapToGrid w:val="0"/>
        <w:spacing w:line="580" w:lineRule="exact"/>
        <w:ind w:firstLine="420" w:firstLineChars="200"/>
        <w:rPr>
          <w:rFonts w:hint="eastAsia" w:ascii="仿宋_GB2312" w:hAnsi="Times New Roman" w:eastAsia="仿宋_GB2312" w:cs="DengXian-Regular"/>
          <w:sz w:val="32"/>
          <w:szCs w:val="32"/>
          <w:lang w:val="en-US" w:eastAsia="zh-CN"/>
        </w:rPr>
      </w:pPr>
      <w:r>
        <w:drawing>
          <wp:anchor distT="0" distB="0" distL="114300" distR="114300" simplePos="0" relativeHeight="251669504" behindDoc="1" locked="0" layoutInCell="1" allowOverlap="1">
            <wp:simplePos x="0" y="0"/>
            <wp:positionH relativeFrom="column">
              <wp:posOffset>662305</wp:posOffset>
            </wp:positionH>
            <wp:positionV relativeFrom="paragraph">
              <wp:posOffset>78105</wp:posOffset>
            </wp:positionV>
            <wp:extent cx="4296410" cy="1961515"/>
            <wp:effectExtent l="4445" t="4445" r="23495" b="53340"/>
            <wp:wrapTight wrapText="bothSides">
              <wp:wrapPolygon>
                <wp:start x="-22" y="-49"/>
                <wp:lineTo x="-22" y="21978"/>
                <wp:lineTo x="21527" y="21978"/>
                <wp:lineTo x="21527" y="-49"/>
                <wp:lineTo x="-22" y="-49"/>
              </wp:wrapPolygon>
            </wp:wrapTight>
            <wp:docPr id="5" name="图表 1" descr="7b0a202020202263686172745265734964223a20223230343731333838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pPr>
        <w:adjustRightInd w:val="0"/>
        <w:snapToGrid w:val="0"/>
        <w:spacing w:line="580" w:lineRule="exact"/>
        <w:rPr>
          <w:rFonts w:hint="eastAsia" w:ascii="仿宋_GB2312" w:hAnsi="Times New Roman" w:eastAsia="仿宋_GB2312" w:cs="Wingdings"/>
          <w:sz w:val="28"/>
          <w:szCs w:val="28"/>
        </w:rPr>
      </w:pPr>
    </w:p>
    <w:p>
      <w:pPr>
        <w:adjustRightInd w:val="0"/>
        <w:snapToGrid w:val="0"/>
        <w:spacing w:line="580" w:lineRule="exact"/>
        <w:rPr>
          <w:rFonts w:hint="eastAsia" w:ascii="仿宋_GB2312" w:hAnsi="Times New Roman" w:eastAsia="仿宋_GB2312" w:cs="Wingdings"/>
          <w:sz w:val="28"/>
          <w:szCs w:val="28"/>
        </w:rPr>
      </w:pPr>
    </w:p>
    <w:p>
      <w:pPr>
        <w:adjustRightInd w:val="0"/>
        <w:snapToGrid w:val="0"/>
        <w:spacing w:line="580" w:lineRule="exact"/>
        <w:ind w:firstLine="1120" w:firstLineChars="400"/>
        <w:rPr>
          <w:rFonts w:hint="eastAsia" w:ascii="仿宋_GB2312" w:hAnsi="Times New Roman" w:eastAsia="仿宋_GB2312" w:cs="Wingdings"/>
          <w:sz w:val="28"/>
          <w:szCs w:val="28"/>
        </w:rPr>
      </w:pPr>
    </w:p>
    <w:p>
      <w:pPr>
        <w:adjustRightInd w:val="0"/>
        <w:snapToGrid w:val="0"/>
        <w:spacing w:line="580" w:lineRule="exact"/>
        <w:ind w:firstLine="1120" w:firstLineChars="400"/>
        <w:rPr>
          <w:rFonts w:hint="eastAsia" w:ascii="仿宋_GB2312" w:hAnsi="Times New Roman" w:eastAsia="仿宋_GB2312" w:cs="Wingdings"/>
          <w:sz w:val="28"/>
          <w:szCs w:val="28"/>
        </w:rPr>
      </w:pPr>
    </w:p>
    <w:p>
      <w:pPr>
        <w:adjustRightInd w:val="0"/>
        <w:snapToGrid w:val="0"/>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图</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eastAsia="zh-CN"/>
        </w:rPr>
        <w:t>收入决算构成情况</w:t>
      </w:r>
    </w:p>
    <w:p>
      <w:pPr>
        <w:keepNext/>
        <w:keepLines/>
        <w:snapToGrid w:val="0"/>
        <w:spacing w:line="580" w:lineRule="exact"/>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420" w:firstLineChars="200"/>
        <w:rPr>
          <w:rFonts w:hint="eastAsia" w:ascii="仿宋_GB2312" w:hAnsi="Times New Roman" w:eastAsia="仿宋_GB2312" w:cs="DengXian-Regular"/>
          <w:sz w:val="32"/>
          <w:szCs w:val="32"/>
        </w:rPr>
      </w:pPr>
      <w:r>
        <w:drawing>
          <wp:anchor distT="0" distB="0" distL="114300" distR="114300" simplePos="0" relativeHeight="251670528" behindDoc="0" locked="0" layoutInCell="1" allowOverlap="1">
            <wp:simplePos x="0" y="0"/>
            <wp:positionH relativeFrom="column">
              <wp:posOffset>156845</wp:posOffset>
            </wp:positionH>
            <wp:positionV relativeFrom="paragraph">
              <wp:posOffset>1308735</wp:posOffset>
            </wp:positionV>
            <wp:extent cx="4429125" cy="2381250"/>
            <wp:effectExtent l="4445" t="4445" r="5080" b="52705"/>
            <wp:wrapSquare wrapText="bothSides"/>
            <wp:docPr id="8" name="图表 1" descr="7b0a202020202263686172745265734964223a20223230343731333838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1729.34</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1513.26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88</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216.07</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12</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spacing w:line="580" w:lineRule="exact"/>
        <w:ind w:firstLine="640" w:firstLineChars="200"/>
        <w:outlineLvl w:val="1"/>
        <w:rPr>
          <w:rFonts w:hint="eastAsia" w:ascii="黑体" w:hAnsi="Calibri" w:eastAsia="黑体" w:cs="Times New Roman"/>
          <w:sz w:val="32"/>
          <w:szCs w:val="32"/>
        </w:rPr>
      </w:pPr>
    </w:p>
    <w:p>
      <w:pPr>
        <w:spacing w:line="580" w:lineRule="exact"/>
        <w:outlineLvl w:val="1"/>
        <w:rPr>
          <w:rFonts w:hint="eastAsia" w:ascii="黑体" w:hAnsi="Calibri" w:eastAsia="黑体" w:cs="Times New Roman"/>
          <w:sz w:val="32"/>
          <w:szCs w:val="32"/>
        </w:rPr>
      </w:pPr>
    </w:p>
    <w:p>
      <w:pPr>
        <w:spacing w:line="580" w:lineRule="exact"/>
        <w:outlineLvl w:val="1"/>
        <w:rPr>
          <w:rFonts w:hint="eastAsia" w:ascii="黑体" w:hAnsi="Calibri" w:eastAsia="黑体" w:cs="Times New Roman"/>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t>图3：支出决算构成情况</w:t>
      </w:r>
    </w:p>
    <w:p>
      <w:pPr>
        <w:adjustRightInd w:val="0"/>
        <w:snapToGrid w:val="0"/>
        <w:spacing w:line="580" w:lineRule="exact"/>
        <w:ind w:firstLine="643" w:firstLineChars="200"/>
        <w:rPr>
          <w:rFonts w:hint="eastAsia" w:ascii="仿宋_GB2312" w:hAnsi="Times New Roman" w:eastAsia="仿宋_GB2312" w:cs="DengXian-Regular"/>
          <w:b/>
          <w:bCs/>
          <w:sz w:val="32"/>
          <w:szCs w:val="32"/>
          <w:lang w:val="en-US" w:eastAsia="zh-CN"/>
        </w:rPr>
      </w:pPr>
      <w:r>
        <w:rPr>
          <w:rFonts w:hint="eastAsia" w:ascii="仿宋_GB2312" w:hAnsi="Times New Roman" w:eastAsia="仿宋_GB2312" w:cs="DengXian-Regular"/>
          <w:b/>
          <w:bCs/>
          <w:sz w:val="32"/>
          <w:szCs w:val="32"/>
          <w:lang w:val="en-US" w:eastAsia="zh-CN"/>
        </w:rPr>
        <w:t>四、财政拨款收入支出决算总体情况说明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1638.94</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151.81</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8.48</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财政拨款收入减少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1729.34</w:t>
      </w:r>
      <w:r>
        <w:rPr>
          <w:rFonts w:hint="eastAsia" w:ascii="仿宋_GB2312" w:hAnsi="Times New Roman" w:eastAsia="仿宋_GB2312" w:cs="DengXian-Regular"/>
          <w:sz w:val="32"/>
          <w:szCs w:val="32"/>
        </w:rPr>
        <w:t>万元，减少</w:t>
      </w:r>
      <w:r>
        <w:rPr>
          <w:rFonts w:hint="eastAsia" w:ascii="仿宋_GB2312" w:hAnsi="Times New Roman" w:eastAsia="仿宋_GB2312" w:cs="DengXian-Regular"/>
          <w:sz w:val="32"/>
          <w:szCs w:val="32"/>
          <w:lang w:val="en-US" w:eastAsia="zh-CN"/>
        </w:rPr>
        <w:t>61.41</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3.43</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有</w:t>
      </w:r>
      <w:r>
        <w:rPr>
          <w:rFonts w:hint="eastAsia" w:ascii="仿宋_GB2312" w:hAnsi="Times New Roman" w:eastAsia="仿宋_GB2312" w:cs="DengXian-Regular"/>
          <w:sz w:val="32"/>
          <w:szCs w:val="32"/>
          <w:lang w:eastAsia="zh-CN"/>
        </w:rPr>
        <w:t>大型维修项目减少和有</w:t>
      </w:r>
      <w:r>
        <w:rPr>
          <w:rFonts w:hint="eastAsia" w:ascii="仿宋_GB2312" w:hAnsi="Times New Roman" w:eastAsia="仿宋_GB2312" w:cs="DengXian-Regular"/>
          <w:sz w:val="32"/>
          <w:szCs w:val="32"/>
          <w:lang w:val="en-US" w:eastAsia="zh-CN"/>
        </w:rPr>
        <w:t>人员退休，</w:t>
      </w:r>
      <w:r>
        <w:rPr>
          <w:rFonts w:hint="eastAsia" w:ascii="仿宋_GB2312" w:hAnsi="Times New Roman" w:eastAsia="仿宋_GB2312" w:cs="DengXian-Regular"/>
          <w:sz w:val="32"/>
          <w:szCs w:val="32"/>
          <w:lang w:eastAsia="zh-CN"/>
        </w:rPr>
        <w:t>大型维修项目经费和</w:t>
      </w:r>
      <w:r>
        <w:rPr>
          <w:rFonts w:hint="eastAsia" w:ascii="仿宋_GB2312" w:hAnsi="Times New Roman" w:eastAsia="仿宋_GB2312" w:cs="DengXian-Regular"/>
          <w:sz w:val="32"/>
          <w:szCs w:val="32"/>
          <w:lang w:val="en-US" w:eastAsia="zh-CN"/>
        </w:rPr>
        <w:t>人员经费支出减少</w:t>
      </w:r>
      <w:r>
        <w:rPr>
          <w:rFonts w:hint="eastAsia" w:ascii="仿宋_GB2312" w:hAnsi="Times New Roman" w:eastAsia="仿宋_GB2312" w:cs="DengXian-Regular"/>
          <w:sz w:val="32"/>
          <w:szCs w:val="32"/>
        </w:rPr>
        <w:t>。具体情况如下：</w:t>
      </w:r>
    </w:p>
    <w:p>
      <w:pPr>
        <w:numPr>
          <w:ilvl w:val="0"/>
          <w:numId w:val="1"/>
        </w:num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一般公共预算财政拨款本年收入</w:t>
      </w:r>
      <w:r>
        <w:rPr>
          <w:rFonts w:hint="eastAsia" w:ascii="仿宋_GB2312" w:hAnsi="Times New Roman" w:eastAsia="仿宋_GB2312" w:cs="DengXian-Regular"/>
          <w:sz w:val="32"/>
          <w:szCs w:val="32"/>
          <w:lang w:val="en-US" w:eastAsia="zh-CN"/>
        </w:rPr>
        <w:t>1638.94</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151.81</w:t>
      </w:r>
      <w:r>
        <w:rPr>
          <w:rFonts w:hint="eastAsia" w:ascii="仿宋_GB2312" w:hAnsi="Times New Roman" w:eastAsia="仿宋_GB2312" w:cs="DengXian-Regular"/>
          <w:sz w:val="32"/>
          <w:szCs w:val="32"/>
        </w:rPr>
        <w:t>万元；主要是财政拨款收入</w:t>
      </w:r>
      <w:r>
        <w:rPr>
          <w:rFonts w:hint="eastAsia" w:ascii="仿宋_GB2312" w:hAnsi="Times New Roman" w:eastAsia="仿宋_GB2312" w:cs="DengXian-Regular"/>
          <w:sz w:val="32"/>
          <w:szCs w:val="32"/>
          <w:lang w:eastAsia="zh-CN"/>
        </w:rPr>
        <w:t>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1638.94</w:t>
      </w:r>
      <w:r>
        <w:rPr>
          <w:rFonts w:hint="eastAsia" w:ascii="仿宋_GB2312" w:hAnsi="Times New Roman" w:eastAsia="仿宋_GB2312" w:cs="DengXian-Regular"/>
          <w:sz w:val="32"/>
          <w:szCs w:val="32"/>
        </w:rPr>
        <w:t>万元，比上年减少</w:t>
      </w:r>
      <w:r>
        <w:rPr>
          <w:rFonts w:hint="eastAsia" w:ascii="仿宋_GB2312" w:hAnsi="Times New Roman" w:eastAsia="仿宋_GB2312" w:cs="DengXian-Regular"/>
          <w:sz w:val="32"/>
          <w:szCs w:val="32"/>
          <w:lang w:val="en-US" w:eastAsia="zh-CN"/>
        </w:rPr>
        <w:t>151.81</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3.43</w:t>
      </w:r>
      <w:r>
        <w:rPr>
          <w:rFonts w:hint="eastAsia" w:ascii="仿宋_GB2312" w:hAnsi="Times New Roman" w:eastAsia="仿宋_GB2312" w:cs="DengXian-Regular"/>
          <w:sz w:val="32"/>
          <w:szCs w:val="32"/>
        </w:rPr>
        <w:t>%，要是</w:t>
      </w:r>
      <w:r>
        <w:rPr>
          <w:rFonts w:hint="eastAsia" w:ascii="仿宋_GB2312" w:hAnsi="Times New Roman" w:eastAsia="仿宋_GB2312" w:cs="DengXian-Regular"/>
          <w:sz w:val="32"/>
          <w:szCs w:val="32"/>
          <w:lang w:val="en-US" w:eastAsia="zh-CN"/>
        </w:rPr>
        <w:t>有</w:t>
      </w:r>
      <w:r>
        <w:rPr>
          <w:rFonts w:hint="eastAsia" w:ascii="仿宋_GB2312" w:hAnsi="Times New Roman" w:eastAsia="仿宋_GB2312" w:cs="DengXian-Regular"/>
          <w:sz w:val="32"/>
          <w:szCs w:val="32"/>
          <w:lang w:eastAsia="zh-CN"/>
        </w:rPr>
        <w:t>大型维修项目减少和有</w:t>
      </w:r>
      <w:r>
        <w:rPr>
          <w:rFonts w:hint="eastAsia" w:ascii="仿宋_GB2312" w:hAnsi="Times New Roman" w:eastAsia="仿宋_GB2312" w:cs="DengXian-Regular"/>
          <w:sz w:val="32"/>
          <w:szCs w:val="32"/>
          <w:lang w:val="en-US" w:eastAsia="zh-CN"/>
        </w:rPr>
        <w:t>人员退休。</w:t>
      </w:r>
    </w:p>
    <w:p>
      <w:pPr>
        <w:numPr>
          <w:ilvl w:val="0"/>
          <w:numId w:val="0"/>
        </w:num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政府性基金预算财政拨款；本年支出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政府性基金预算财政拨款。</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政府性基金预算财政拨款；本年支出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政府性基金预算财政拨款。</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643" w:firstLineChars="200"/>
        <w:rPr>
          <w:rFonts w:hint="eastAsia" w:ascii="楷体_GB2312" w:hAnsi="Times New Roman" w:eastAsia="楷体_GB2312" w:cs="DengXian-Bold"/>
          <w:b/>
          <w:bCs/>
          <w:sz w:val="32"/>
          <w:szCs w:val="32"/>
        </w:rPr>
      </w:pPr>
    </w:p>
    <w:p>
      <w:pPr>
        <w:snapToGrid w:val="0"/>
        <w:spacing w:line="580" w:lineRule="exact"/>
        <w:ind w:firstLine="420" w:firstLineChars="200"/>
        <w:rPr>
          <w:rFonts w:hint="eastAsia" w:ascii="仿宋_GB2312" w:hAnsi="Times New Roman" w:eastAsia="仿宋_GB2312" w:cs="Wingdings"/>
          <w:sz w:val="28"/>
          <w:szCs w:val="28"/>
          <w:lang w:val="en-US" w:eastAsia="zh-CN"/>
        </w:rPr>
      </w:pPr>
      <w:r>
        <w:drawing>
          <wp:anchor distT="0" distB="0" distL="114300" distR="114300" simplePos="0" relativeHeight="251671552" behindDoc="0" locked="0" layoutInCell="1" allowOverlap="1">
            <wp:simplePos x="0" y="0"/>
            <wp:positionH relativeFrom="column">
              <wp:posOffset>261620</wp:posOffset>
            </wp:positionH>
            <wp:positionV relativeFrom="paragraph">
              <wp:posOffset>-81915</wp:posOffset>
            </wp:positionV>
            <wp:extent cx="4572000" cy="2743200"/>
            <wp:effectExtent l="4445" t="4445" r="14605" b="14605"/>
            <wp:wrapSquare wrapText="bothSides"/>
            <wp:docPr id="106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val="en-US" w:eastAsia="zh-CN"/>
        </w:rPr>
        <w:t>图4：</w:t>
      </w:r>
      <w:r>
        <w:rPr>
          <w:rFonts w:hint="eastAsia" w:ascii="仿宋_GB2312" w:hAnsi="Times New Roman" w:eastAsia="仿宋_GB2312" w:cs="DengXian-Regular"/>
          <w:sz w:val="32"/>
          <w:szCs w:val="32"/>
          <w:lang w:eastAsia="zh-CN"/>
        </w:rPr>
        <w:t>财政拨款收支与上年</w:t>
      </w:r>
      <w:r>
        <w:rPr>
          <w:rFonts w:hint="eastAsia" w:ascii="仿宋_GB2312" w:hAnsi="Times New Roman" w:eastAsia="仿宋_GB2312" w:cs="DengXian-Regular"/>
          <w:sz w:val="32"/>
          <w:szCs w:val="32"/>
          <w:lang w:val="en-US" w:eastAsia="zh-CN"/>
        </w:rPr>
        <w:t>财政拨款收支情况（单位：万元）</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1638.94</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116.6</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233.24</w:t>
      </w:r>
      <w:r>
        <w:rPr>
          <w:rFonts w:hint="eastAsia" w:ascii="仿宋_GB2312" w:hAnsi="Times New Roman" w:eastAsia="仿宋_GB2312" w:cs="DengXian-Regular"/>
          <w:sz w:val="32"/>
          <w:szCs w:val="32"/>
        </w:rPr>
        <w:t>万元，决算数大于预算数主要原因是主要是</w:t>
      </w:r>
      <w:r>
        <w:rPr>
          <w:rFonts w:hint="eastAsia" w:ascii="仿宋_GB2312" w:hAnsi="Times New Roman" w:eastAsia="仿宋_GB2312" w:cs="DengXian-Regular"/>
          <w:sz w:val="32"/>
          <w:szCs w:val="32"/>
          <w:lang w:val="en-US" w:eastAsia="zh-CN"/>
        </w:rPr>
        <w:t>年中上级追加了改善办学条件资金和助学金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1638.94</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116.6</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233.24</w:t>
      </w:r>
      <w:r>
        <w:rPr>
          <w:rFonts w:hint="eastAsia" w:ascii="仿宋_GB2312" w:hAnsi="Times New Roman" w:eastAsia="仿宋_GB2312" w:cs="DengXian-Regular"/>
          <w:sz w:val="32"/>
          <w:szCs w:val="32"/>
        </w:rPr>
        <w:t>万元，决算数大于预算数主要原因是</w:t>
      </w:r>
      <w:r>
        <w:rPr>
          <w:rFonts w:hint="eastAsia" w:ascii="仿宋_GB2312" w:hAnsi="Times New Roman" w:eastAsia="仿宋_GB2312" w:cs="DengXian-Regular"/>
          <w:sz w:val="32"/>
          <w:szCs w:val="32"/>
          <w:lang w:val="en-US" w:eastAsia="zh-CN"/>
        </w:rPr>
        <w:t>追加的改善办学条件资金和助学金的支出</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116.6</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233.24</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年中上级追加了改善办学条件资金和助学金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116.6</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233.24</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追加的改善办学条件资金和助学金的支出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政府性基金预算财政拨款；支出完成年初预算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政府性基金预算财政拨款。</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国有资本经营预算财政拨款；支出完成年初预算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本部门无</w:t>
      </w:r>
      <w:r>
        <w:rPr>
          <w:rFonts w:hint="eastAsia" w:ascii="仿宋_GB2312" w:hAnsi="Times New Roman" w:eastAsia="仿宋_GB2312" w:cs="DengXian-Regular"/>
          <w:sz w:val="32"/>
          <w:szCs w:val="32"/>
        </w:rPr>
        <w:t>国有资本经营预算财政拨款。</w:t>
      </w:r>
    </w:p>
    <w:p>
      <w:pPr>
        <w:adjustRightInd w:val="0"/>
        <w:snapToGrid w:val="0"/>
        <w:spacing w:line="580" w:lineRule="exact"/>
        <w:ind w:firstLine="420" w:firstLineChars="200"/>
        <w:rPr>
          <w:rFonts w:hint="eastAsia" w:ascii="仿宋_GB2312" w:hAnsi="Times New Roman" w:eastAsia="仿宋_GB2312" w:cs="DengXian-Regular"/>
          <w:sz w:val="32"/>
          <w:szCs w:val="32"/>
        </w:rPr>
      </w:pPr>
      <w:r>
        <w:drawing>
          <wp:anchor distT="0" distB="0" distL="114300" distR="114300" simplePos="0" relativeHeight="251672576" behindDoc="1" locked="0" layoutInCell="1" allowOverlap="1">
            <wp:simplePos x="0" y="0"/>
            <wp:positionH relativeFrom="column">
              <wp:posOffset>252095</wp:posOffset>
            </wp:positionH>
            <wp:positionV relativeFrom="paragraph">
              <wp:posOffset>267335</wp:posOffset>
            </wp:positionV>
            <wp:extent cx="4571365" cy="2743200"/>
            <wp:effectExtent l="4445" t="4445" r="15240" b="14605"/>
            <wp:wrapTight wrapText="bothSides">
              <wp:wrapPolygon>
                <wp:start x="-21" y="-35"/>
                <wp:lineTo x="-21" y="21565"/>
                <wp:lineTo x="21492" y="21565"/>
                <wp:lineTo x="21492" y="-35"/>
                <wp:lineTo x="-21" y="-35"/>
              </wp:wrapPolygon>
            </wp:wrapTight>
            <wp:docPr id="207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keepNext/>
        <w:keepLines/>
        <w:snapToGrid w:val="0"/>
        <w:spacing w:line="600" w:lineRule="exact"/>
        <w:ind w:firstLine="560" w:firstLineChars="200"/>
        <w:outlineLvl w:val="1"/>
        <w:rPr>
          <w:rFonts w:hint="eastAsia" w:ascii="仿宋_GB2312" w:hAnsi="Times New Roman" w:eastAsia="仿宋_GB2312" w:cs="DengXian-Regular"/>
          <w:sz w:val="32"/>
          <w:szCs w:val="32"/>
        </w:rPr>
      </w:pPr>
      <w:r>
        <w:rPr>
          <w:rFonts w:hint="eastAsia" w:ascii="仿宋_GB2312" w:hAnsi="Times New Roman" w:eastAsia="仿宋_GB2312" w:cs="Wingdings"/>
          <w:sz w:val="28"/>
          <w:szCs w:val="28"/>
          <w:lang w:val="en-US" w:eastAsia="zh-CN"/>
        </w:rPr>
        <w:t>图5:财政拨款收支与年初预算数对比（单位：万元）</w:t>
      </w:r>
    </w:p>
    <w:p>
      <w:pPr>
        <w:numPr>
          <w:ilvl w:val="0"/>
          <w:numId w:val="2"/>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60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202</w:t>
      </w:r>
      <w:r>
        <w:rPr>
          <w:rFonts w:hint="eastAsia" w:ascii="仿宋_GB2312" w:hAnsi="Times New Roman" w:eastAsia="仿宋_GB2312" w:cs="DengXian-Regular"/>
          <w:sz w:val="32"/>
          <w:szCs w:val="32"/>
          <w:lang w:val="en-US" w:eastAsia="zh-CN"/>
        </w:rPr>
        <w:t>1</w:t>
      </w:r>
      <w:r>
        <w:rPr>
          <w:rFonts w:hint="eastAsia" w:ascii="仿宋_GB2312" w:hAnsi="Times New Roman" w:eastAsia="仿宋_GB2312" w:cs="DengXian-Regular"/>
          <w:sz w:val="32"/>
          <w:szCs w:val="32"/>
        </w:rPr>
        <w:t>年度财政拨款支出</w:t>
      </w:r>
      <w:r>
        <w:rPr>
          <w:rFonts w:hint="eastAsia" w:ascii="仿宋_GB2312" w:hAnsi="Times New Roman" w:eastAsia="仿宋_GB2312" w:cs="DengXian-Regular"/>
          <w:sz w:val="32"/>
          <w:szCs w:val="32"/>
          <w:lang w:val="en-US" w:eastAsia="zh-CN"/>
        </w:rPr>
        <w:t>1638.94</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高中教育</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val="en-US" w:eastAsia="zh-CN"/>
        </w:rPr>
        <w:t>1580.71</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96.45</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其他普通教育支出16.62万元，占1.01%；其他教育支出41.6万元，占2.54%。</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2021年度财政拨款基本支出1,513.26万元，其中：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 1,306.75万元，主要包括基本工资、津贴补贴、奖金、伙食补助费、绩效工资、机关事业单位基本养老保险缴费、职业年金缴费、职工基本医疗保险缴费、公务员医疗补助缴费、住房公积金、医疗费、其他社会保障缴费、其他工资福利支出、生活补助、医疗费补助、奖励金、其他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公用经费206.51万元，主要包括办公费、印刷费、咨询费、手续费、水费、电费、邮电费、取暖费、物业管理费、差旅费、因公出国（境）费用、维修（护）费、租赁费、培训费、劳务费、工会经费、福利费、其他交通费用、其他商品和服务支出、办公设备购置、专用设备购置、其他资本性支出。</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无因公出国（境），无公务用车购置及运行维护费，无公务接待费；较2020年度决算增加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无因公出国（境），无公务用车购置及运行维护费，无公务接待费。</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人。因公出国（境）费支出较预算增加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DengXian-Regular"/>
          <w:sz w:val="32"/>
          <w:szCs w:val="32"/>
        </w:rPr>
        <w:t>；较上年增加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%。较预算减少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本单位无公车</w:t>
      </w:r>
      <w:r>
        <w:rPr>
          <w:rFonts w:hint="eastAsia" w:ascii="仿宋_GB2312" w:hAnsi="Times New Roman" w:eastAsia="仿宋_GB2312" w:cs="DengXian-Regular"/>
          <w:sz w:val="32"/>
          <w:szCs w:val="32"/>
        </w:rPr>
        <w:t>；较上年减少</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本单位无公车</w:t>
      </w:r>
      <w:r>
        <w:rPr>
          <w:rFonts w:hint="eastAsia" w:ascii="仿宋_GB2312" w:hAnsi="Times New Roman" w:eastAsia="仿宋_GB2312" w:cs="DengXian-Regular"/>
          <w:sz w:val="32"/>
          <w:szCs w:val="32"/>
        </w:rPr>
        <w:t>。</w:t>
      </w:r>
      <w:r>
        <w:rPr>
          <w:rFonts w:hint="eastAsia" w:ascii="仿宋_GB2312" w:hAnsi="Times New Roman" w:eastAsia="仿宋_GB2312" w:cs="DengXian-Bold"/>
          <w:sz w:val="32"/>
          <w:szCs w:val="32"/>
        </w:rPr>
        <w:t>其中：</w:t>
      </w:r>
    </w:p>
    <w:p>
      <w:pPr>
        <w:adjustRightInd w:val="0"/>
        <w:snapToGrid w:val="0"/>
        <w:spacing w:line="600" w:lineRule="exact"/>
        <w:ind w:firstLine="643"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Wingdings"/>
          <w:sz w:val="32"/>
          <w:szCs w:val="32"/>
        </w:rPr>
        <w:t>主要</w:t>
      </w:r>
      <w:r>
        <w:rPr>
          <w:rFonts w:hint="eastAsia" w:ascii="仿宋_GB2312" w:hAnsi="Times New Roman" w:eastAsia="仿宋_GB2312" w:cs="Wingdings"/>
          <w:sz w:val="32"/>
          <w:szCs w:val="32"/>
          <w:lang w:val="en-US" w:eastAsia="zh-CN"/>
        </w:rPr>
        <w:t>是未发生‘公务用车购置’经费支出；较上年增加0万元，增长0%,主要是</w:t>
      </w:r>
      <w:r>
        <w:rPr>
          <w:rFonts w:hint="eastAsia" w:ascii="仿宋_GB2312" w:hAnsi="Times New Roman" w:eastAsia="仿宋_GB2312" w:cs="Wingdings"/>
          <w:sz w:val="32"/>
          <w:szCs w:val="32"/>
        </w:rPr>
        <w:t>与年初预算持平</w:t>
      </w:r>
      <w:r>
        <w:rPr>
          <w:rFonts w:hint="eastAsia" w:ascii="仿宋_GB2312" w:hAnsi="Times New Roman" w:eastAsia="仿宋_GB2312" w:cs="Wingdings"/>
          <w:sz w:val="32"/>
          <w:szCs w:val="32"/>
          <w:lang w:eastAsia="zh-CN"/>
        </w:rPr>
        <w:t>。</w:t>
      </w:r>
    </w:p>
    <w:p>
      <w:pPr>
        <w:adjustRightInd w:val="0"/>
        <w:snapToGrid w:val="0"/>
        <w:spacing w:line="600" w:lineRule="exact"/>
        <w:ind w:firstLine="643" w:firstLineChars="200"/>
        <w:rPr>
          <w:rFonts w:ascii="仿宋_GB2312" w:hAnsi="Times New Roman" w:eastAsia="仿宋_GB2312" w:cs="Wingdings"/>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Wingdings"/>
          <w:sz w:val="32"/>
          <w:szCs w:val="32"/>
        </w:rPr>
        <w:t>主要是</w:t>
      </w:r>
      <w:r>
        <w:rPr>
          <w:rFonts w:hint="eastAsia" w:ascii="仿宋" w:hAnsi="仿宋" w:eastAsia="仿宋" w:cs="仿宋"/>
          <w:sz w:val="32"/>
          <w:szCs w:val="32"/>
        </w:rPr>
        <w:t>公车改革，学校车辆处置</w:t>
      </w:r>
      <w:r>
        <w:rPr>
          <w:rFonts w:hint="eastAsia" w:ascii="仿宋_GB2312" w:hAnsi="Times New Roman" w:eastAsia="仿宋_GB2312" w:cs="Wingdings"/>
          <w:sz w:val="32"/>
          <w:szCs w:val="32"/>
        </w:rPr>
        <w:t>；较上年增加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%，主要是</w:t>
      </w:r>
      <w:r>
        <w:rPr>
          <w:rFonts w:hint="eastAsia" w:ascii="仿宋" w:hAnsi="仿宋" w:eastAsia="仿宋" w:cs="仿宋"/>
          <w:sz w:val="32"/>
          <w:szCs w:val="32"/>
        </w:rPr>
        <w:t>公车改革，学校车辆处置</w:t>
      </w:r>
      <w:r>
        <w:rPr>
          <w:rFonts w:hint="eastAsia" w:ascii="仿宋_GB2312" w:hAnsi="Times New Roman" w:eastAsia="仿宋_GB2312" w:cs="Wingdings"/>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万元，完成预算的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Wingdings"/>
          <w:sz w:val="32"/>
          <w:szCs w:val="32"/>
        </w:rPr>
        <w:t>主要是</w:t>
      </w:r>
      <w:r>
        <w:rPr>
          <w:rFonts w:hint="eastAsia" w:ascii="仿宋" w:hAnsi="仿宋" w:eastAsia="仿宋" w:cs="仿宋"/>
          <w:color w:val="000000"/>
          <w:sz w:val="32"/>
          <w:szCs w:val="32"/>
        </w:rPr>
        <w:t>贯彻机关压缩三公支出</w:t>
      </w:r>
      <w:r>
        <w:rPr>
          <w:rFonts w:hint="eastAsia" w:ascii="仿宋_GB2312" w:hAnsi="Times New Roman" w:eastAsia="仿宋_GB2312" w:cs="Wingdings"/>
          <w:sz w:val="32"/>
          <w:szCs w:val="32"/>
        </w:rPr>
        <w:t>；</w:t>
      </w:r>
      <w:r>
        <w:rPr>
          <w:rFonts w:hint="eastAsia" w:ascii="仿宋_GB2312" w:hAnsi="Times New Roman" w:eastAsia="仿宋_GB2312" w:cs="DengXian-Regular"/>
          <w:sz w:val="32"/>
          <w:szCs w:val="32"/>
        </w:rPr>
        <w:t>较上年度增加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%,主要是</w:t>
      </w:r>
      <w:r>
        <w:rPr>
          <w:rFonts w:hint="eastAsia" w:ascii="仿宋" w:hAnsi="仿宋" w:eastAsia="仿宋" w:cs="仿宋"/>
          <w:color w:val="000000"/>
          <w:sz w:val="32"/>
          <w:szCs w:val="32"/>
        </w:rPr>
        <w:t>贯彻机关压缩三公支出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widowControl w:val="0"/>
        <w:numPr>
          <w:ilvl w:val="0"/>
          <w:numId w:val="0"/>
        </w:numPr>
        <w:wordWrap/>
        <w:adjustRightInd w:val="0"/>
        <w:snapToGrid w:val="0"/>
        <w:spacing w:line="560" w:lineRule="exact"/>
        <w:ind w:leftChars="200" w:right="0" w:rightChars="0" w:firstLine="320" w:firstLineChars="1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个，共涉及资金</w:t>
      </w:r>
      <w:r>
        <w:rPr>
          <w:rFonts w:hint="eastAsia" w:ascii="仿宋_GB2312" w:hAnsi="仿宋_GB2312" w:eastAsia="仿宋_GB2312" w:cs="仿宋_GB2312"/>
          <w:sz w:val="32"/>
          <w:szCs w:val="32"/>
          <w:lang w:val="en-US" w:eastAsia="zh-CN"/>
        </w:rPr>
        <w:t>216.07</w:t>
      </w:r>
      <w:r>
        <w:rPr>
          <w:rFonts w:hint="eastAsia" w:ascii="仿宋_GB2312" w:hAnsi="Times New Roman" w:eastAsia="仿宋_GB2312" w:cs="DengXian-Regular"/>
          <w:sz w:val="32"/>
          <w:szCs w:val="32"/>
        </w:rPr>
        <w:t>万元</w:t>
      </w:r>
      <w:r>
        <w:rPr>
          <w:rFonts w:hint="eastAsia" w:ascii="仿宋_GB2312" w:hAnsi="仿宋_GB2312" w:eastAsia="仿宋_GB2312" w:cs="仿宋_GB2312"/>
          <w:sz w:val="32"/>
          <w:szCs w:val="32"/>
        </w:rPr>
        <w:t>，占一般公共预算项目支出总额的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。组织对</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改善普通高中学校办学条件补助资金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rPr>
        <w:t>等一级项</w:t>
      </w:r>
      <w:r>
        <w:rPr>
          <w:rFonts w:hint="eastAsia" w:ascii="仿宋_GB2312" w:hAnsi="仿宋_GB2312" w:eastAsia="仿宋_GB2312" w:cs="仿宋_GB2312"/>
          <w:sz w:val="32"/>
          <w:szCs w:val="32"/>
        </w:rPr>
        <w:t>目开展了重点评价，涉及一般公共预算支出</w:t>
      </w:r>
      <w:r>
        <w:rPr>
          <w:rFonts w:hint="eastAsia" w:ascii="仿宋_GB2312" w:hAnsi="仿宋_GB2312" w:eastAsia="仿宋_GB2312" w:cs="仿宋_GB2312"/>
          <w:sz w:val="32"/>
          <w:szCs w:val="32"/>
          <w:lang w:val="en-US" w:eastAsia="zh-CN"/>
        </w:rPr>
        <w:t>216.07</w:t>
      </w:r>
      <w:r>
        <w:rPr>
          <w:rFonts w:hint="eastAsia" w:ascii="仿宋_GB2312" w:hAnsi="仿宋_GB2312" w:eastAsia="仿宋_GB2312" w:cs="仿宋_GB2312"/>
          <w:sz w:val="32"/>
          <w:szCs w:val="32"/>
        </w:rPr>
        <w:t>万元，政府性基金预算支出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万元。其中，对“</w:t>
      </w:r>
      <w:r>
        <w:rPr>
          <w:rFonts w:hint="eastAsia" w:ascii="仿宋_GB2312" w:hAnsi="仿宋_GB2312" w:eastAsia="仿宋_GB2312" w:cs="仿宋_GB2312"/>
          <w:sz w:val="32"/>
          <w:szCs w:val="32"/>
          <w:lang w:val="en-US" w:eastAsia="zh-CN"/>
        </w:rPr>
        <w:t>农村学校取暖补助</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迎检学校修缮购置</w:t>
      </w:r>
      <w:r>
        <w:rPr>
          <w:rFonts w:hint="eastAsia" w:ascii="仿宋_GB2312" w:hAnsi="仿宋_GB2312" w:eastAsia="仿宋_GB2312" w:cs="仿宋_GB2312"/>
          <w:sz w:val="32"/>
          <w:szCs w:val="32"/>
        </w:rPr>
        <w:t>”等项目</w:t>
      </w:r>
      <w:r>
        <w:rPr>
          <w:rFonts w:hint="eastAsia" w:ascii="仿宋_GB2312" w:hAnsi="仿宋_GB2312" w:eastAsia="仿宋_GB2312" w:cs="仿宋_GB2312"/>
          <w:sz w:val="32"/>
          <w:szCs w:val="32"/>
          <w:lang w:val="en-US" w:eastAsia="zh-CN"/>
        </w:rPr>
        <w:t>由单位</w:t>
      </w:r>
      <w:r>
        <w:rPr>
          <w:rFonts w:hint="eastAsia" w:ascii="仿宋_GB2312" w:hAnsi="仿宋_GB2312" w:eastAsia="仿宋_GB2312" w:cs="仿宋_GB2312"/>
          <w:sz w:val="32"/>
          <w:szCs w:val="32"/>
        </w:rPr>
        <w:t>内评审机构开展绩效评价。从评价情况来看，</w:t>
      </w:r>
      <w:r>
        <w:rPr>
          <w:rFonts w:hint="eastAsia" w:ascii="仿宋" w:hAnsi="仿宋" w:eastAsia="仿宋"/>
          <w:sz w:val="32"/>
          <w:szCs w:val="32"/>
          <w:lang w:val="en-US" w:eastAsia="zh-CN"/>
        </w:rPr>
        <w:t>该项目师生满意度均在90%以上。</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决算公开中反映</w:t>
      </w:r>
      <w:r>
        <w:rPr>
          <w:rFonts w:hint="eastAsia" w:ascii="仿宋_GB2312" w:hAnsi="仿宋_GB2312" w:eastAsia="仿宋_GB2312" w:cs="仿宋_GB2312"/>
          <w:sz w:val="32"/>
          <w:szCs w:val="32"/>
          <w:lang w:val="en-US" w:eastAsia="zh-CN"/>
        </w:rPr>
        <w:t>农村学校取暖补助</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迎检学校修缮购置</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收费</w:t>
      </w:r>
      <w:r>
        <w:rPr>
          <w:rFonts w:hint="eastAsia" w:ascii="仿宋_GB2312" w:hAnsi="仿宋_GB2312" w:eastAsia="仿宋_GB2312" w:cs="仿宋_GB2312"/>
          <w:sz w:val="32"/>
          <w:szCs w:val="32"/>
        </w:rPr>
        <w:t>项目及</w:t>
      </w:r>
      <w:r>
        <w:rPr>
          <w:rFonts w:hint="default" w:ascii="仿宋_GB2312" w:hAnsi="仿宋_GB2312" w:eastAsia="仿宋_GB2312" w:cs="仿宋_GB2312"/>
          <w:sz w:val="32"/>
          <w:szCs w:val="32"/>
          <w:lang w:val="en-US" w:eastAsia="zh-CN"/>
        </w:rPr>
        <w:t>改善普通高中学校办学条件补助资金</w:t>
      </w:r>
      <w:r>
        <w:rPr>
          <w:rFonts w:hint="eastAsia" w:ascii="仿宋_GB2312" w:hAnsi="仿宋_GB2312" w:eastAsia="仿宋_GB2312" w:cs="仿宋_GB2312"/>
          <w:sz w:val="32"/>
          <w:szCs w:val="32"/>
        </w:rPr>
        <w:t>项目等</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个项目绩效自评结果。</w:t>
      </w:r>
    </w:p>
    <w:p>
      <w:pPr>
        <w:adjustRightInd w:val="0"/>
        <w:snapToGrid w:val="0"/>
        <w:spacing w:line="580" w:lineRule="exact"/>
        <w:ind w:left="420" w:leftChars="200"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根据年初设定的绩效目标，</w:t>
      </w:r>
      <w:r>
        <w:rPr>
          <w:rFonts w:hint="default" w:ascii="仿宋_GB2312" w:hAnsi="仿宋_GB2312" w:eastAsia="仿宋_GB2312" w:cs="仿宋_GB2312"/>
          <w:sz w:val="32"/>
          <w:szCs w:val="32"/>
          <w:lang w:val="en-US" w:eastAsia="zh-CN"/>
        </w:rPr>
        <w:t>改善普通高中学校办学条件补助资金</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67.45</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67.45</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。项目绩效目标完成情况：通过项目实施，完成了年初设定的各项绩效目标，完成</w:t>
      </w:r>
      <w:r>
        <w:rPr>
          <w:rFonts w:hint="eastAsia" w:ascii="仿宋_GB2312" w:hAnsi="仿宋_GB2312" w:eastAsia="仿宋_GB2312" w:cs="仿宋_GB2312"/>
          <w:sz w:val="32"/>
          <w:szCs w:val="32"/>
          <w:lang w:val="en-US" w:eastAsia="zh-CN"/>
        </w:rPr>
        <w:t>目标1：男女生宿舍窗户更换为铝合金窗户，</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目标2：学校操场硬化、高压线搭建、粉刷墙体等附属设施建设，</w:t>
      </w:r>
      <w:r>
        <w:rPr>
          <w:rFonts w:hint="eastAsia" w:ascii="仿宋_GB2312" w:hAnsi="仿宋_GB2312" w:eastAsia="仿宋_GB2312" w:cs="仿宋_GB2312"/>
          <w:sz w:val="32"/>
          <w:szCs w:val="32"/>
        </w:rPr>
        <w:t>未发现问题。</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附项目支出绩效自评表</w:t>
      </w:r>
    </w:p>
    <w:tbl>
      <w:tblPr>
        <w:tblStyle w:val="6"/>
        <w:tblW w:w="88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0"/>
        <w:gridCol w:w="619"/>
        <w:gridCol w:w="696"/>
        <w:gridCol w:w="1436"/>
        <w:gridCol w:w="944"/>
        <w:gridCol w:w="2192"/>
        <w:gridCol w:w="988"/>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885"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仿宋_GB2312" w:hAnsi="仿宋_GB2312" w:eastAsia="仿宋_GB2312" w:cs="仿宋_GB2312"/>
                <w:sz w:val="32"/>
                <w:szCs w:val="32"/>
                <w:lang w:val="en-US" w:eastAsia="zh-CN"/>
              </w:rPr>
              <w:t>改善普通高中学校办学条件补助资金（项目）绩效目标自评表</w:t>
            </w:r>
            <w:r>
              <w:rPr>
                <w:rFonts w:hint="default" w:ascii="方正小标宋_GBK" w:hAnsi="方正小标宋_GBK" w:eastAsia="方正小标宋_GBK" w:cs="方正小标宋_GBK"/>
                <w:i w:val="0"/>
                <w:iCs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885" w:type="dxa"/>
            <w:gridSpan w:val="8"/>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0"/>
                <w:lang w:val="en-US" w:eastAsia="zh-CN" w:bidi="ar"/>
              </w:rPr>
              <w:t>（</w:t>
            </w:r>
            <w:r>
              <w:rPr>
                <w:rStyle w:val="11"/>
                <w:rFonts w:eastAsia="宋体"/>
                <w:lang w:val="en-US" w:eastAsia="zh-CN" w:bidi="ar"/>
              </w:rPr>
              <w:t>2021</w:t>
            </w:r>
            <w:r>
              <w:rPr>
                <w:rStyle w:val="10"/>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lang w:val="en-US" w:eastAsia="zh-CN" w:bidi="ar"/>
              </w:rPr>
            </w:pPr>
            <w:r>
              <w:rPr>
                <w:rStyle w:val="10"/>
                <w:rFonts w:hint="default"/>
                <w:lang w:val="en-US" w:eastAsia="zh-CN" w:bidi="ar"/>
              </w:rPr>
              <w:t>转移支付（项目）名称</w:t>
            </w:r>
          </w:p>
        </w:tc>
        <w:tc>
          <w:tcPr>
            <w:tcW w:w="67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rFonts w:hint="default"/>
                <w:lang w:val="en-US" w:eastAsia="zh-CN" w:bidi="ar"/>
              </w:rPr>
            </w:pPr>
            <w:r>
              <w:rPr>
                <w:rStyle w:val="10"/>
                <w:rFonts w:hint="default"/>
                <w:lang w:val="en-US" w:eastAsia="zh-CN" w:bidi="ar"/>
              </w:rPr>
              <w:t>改善普通高中学校办学条件补助资金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rFonts w:hint="default"/>
                <w:lang w:val="en-US" w:eastAsia="zh-CN" w:bidi="ar"/>
              </w:rPr>
            </w:pPr>
            <w:r>
              <w:rPr>
                <w:rStyle w:val="10"/>
                <w:rFonts w:hint="default"/>
                <w:lang w:val="en-US" w:eastAsia="zh-CN" w:bidi="ar"/>
              </w:rPr>
              <w:t>中央主管部门</w:t>
            </w:r>
          </w:p>
        </w:tc>
        <w:tc>
          <w:tcPr>
            <w:tcW w:w="67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rFonts w:hint="default"/>
                <w:lang w:val="en-US" w:eastAsia="zh-CN" w:bidi="ar"/>
              </w:rPr>
            </w:pPr>
            <w:r>
              <w:rPr>
                <w:rStyle w:val="10"/>
                <w:rFonts w:hint="default"/>
                <w:lang w:val="en-US" w:eastAsia="zh-CN" w:bidi="ar"/>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rFonts w:hint="default"/>
                <w:lang w:val="en-US" w:eastAsia="zh-CN" w:bidi="ar"/>
              </w:rPr>
            </w:pPr>
            <w:r>
              <w:rPr>
                <w:rStyle w:val="10"/>
                <w:rFonts w:hint="default"/>
                <w:lang w:val="en-US" w:eastAsia="zh-CN" w:bidi="ar"/>
              </w:rPr>
              <w:t>地方主管部门</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rFonts w:hint="eastAsia"/>
                <w:lang w:val="en-US" w:eastAsia="zh-CN" w:bidi="ar"/>
              </w:rPr>
            </w:pPr>
            <w:r>
              <w:rPr>
                <w:rStyle w:val="10"/>
                <w:rFonts w:hint="eastAsia"/>
                <w:lang w:val="en-US" w:eastAsia="zh-CN" w:bidi="ar"/>
              </w:rPr>
              <w:t>石家庄市藁城区教育局</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0"/>
                <w:rFonts w:hint="default"/>
                <w:lang w:val="en-US" w:eastAsia="zh-CN" w:bidi="ar"/>
              </w:rPr>
            </w:pPr>
            <w:r>
              <w:rPr>
                <w:rStyle w:val="10"/>
                <w:rFonts w:hint="default"/>
                <w:lang w:val="en-US" w:eastAsia="zh-CN" w:bidi="ar"/>
              </w:rPr>
              <w:t>资金使用单位</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石家庄市藁城区第三中学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1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kern w:val="0"/>
                <w:sz w:val="24"/>
                <w:szCs w:val="24"/>
                <w:u w:val="none"/>
                <w:lang w:val="en-US" w:eastAsia="zh-CN" w:bidi="ar"/>
              </w:rPr>
            </w:pPr>
            <w:r>
              <w:rPr>
                <w:rFonts w:hint="default" w:ascii="方正黑体_GBK" w:hAnsi="方正黑体_GBK" w:eastAsia="方正黑体_GBK" w:cs="方正黑体_GBK"/>
                <w:i w:val="0"/>
                <w:iCs w:val="0"/>
                <w:color w:val="000000"/>
                <w:kern w:val="0"/>
                <w:sz w:val="24"/>
                <w:szCs w:val="24"/>
                <w:u w:val="none"/>
                <w:lang w:val="en-US" w:eastAsia="zh-CN" w:bidi="ar"/>
              </w:rPr>
              <w:t>资金情况</w:t>
            </w:r>
          </w:p>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（万元）</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iCs w:val="0"/>
                <w:color w:val="000000"/>
                <w:sz w:val="24"/>
                <w:szCs w:val="24"/>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0"/>
                <w:lang w:val="en-US" w:eastAsia="zh-CN" w:bidi="ar"/>
              </w:rPr>
              <w:t>全年预算数（</w:t>
            </w:r>
            <w:r>
              <w:rPr>
                <w:rStyle w:val="11"/>
                <w:rFonts w:eastAsia="宋体"/>
                <w:lang w:val="en-US" w:eastAsia="zh-CN" w:bidi="ar"/>
              </w:rPr>
              <w:t>A</w:t>
            </w:r>
            <w:r>
              <w:rPr>
                <w:rStyle w:val="10"/>
                <w:lang w:val="en-US" w:eastAsia="zh-CN" w:bidi="ar"/>
              </w:rPr>
              <w:t>）</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0"/>
                <w:lang w:val="en-US" w:eastAsia="zh-CN" w:bidi="ar"/>
              </w:rPr>
              <w:t>全年执行数（</w:t>
            </w:r>
            <w:r>
              <w:rPr>
                <w:rStyle w:val="11"/>
                <w:rFonts w:eastAsia="宋体"/>
                <w:lang w:val="en-US" w:eastAsia="zh-CN" w:bidi="ar"/>
              </w:rPr>
              <w:t>B</w:t>
            </w:r>
            <w:r>
              <w:rPr>
                <w:rStyle w:val="10"/>
                <w:lang w:val="en-US" w:eastAsia="zh-CN" w:bidi="ar"/>
              </w:rPr>
              <w:t>）</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0"/>
                <w:lang w:val="en-US" w:eastAsia="zh-CN" w:bidi="ar"/>
              </w:rPr>
              <w:t>预算执行率（</w:t>
            </w:r>
            <w:r>
              <w:rPr>
                <w:rStyle w:val="11"/>
                <w:rFonts w:eastAsia="宋体"/>
                <w:lang w:val="en-US" w:eastAsia="zh-CN" w:bidi="ar"/>
              </w:rPr>
              <w:t>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Style w:val="10"/>
                <w:lang w:val="en-US" w:eastAsia="zh-CN" w:bidi="ar"/>
              </w:rPr>
              <w:t>年度资金总额：</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674500</w:t>
            </w:r>
          </w:p>
        </w:tc>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674500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 </w:t>
            </w:r>
            <w:r>
              <w:rPr>
                <w:rStyle w:val="10"/>
                <w:lang w:val="en-US" w:eastAsia="zh-CN" w:bidi="ar"/>
              </w:rPr>
              <w:t>其中：中央财政资金</w:t>
            </w:r>
          </w:p>
        </w:tc>
        <w:tc>
          <w:tcPr>
            <w:tcW w:w="944"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318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1170"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1436"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p>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 xml:space="preserve">     地方资金</w:t>
            </w:r>
          </w:p>
        </w:tc>
        <w:tc>
          <w:tcPr>
            <w:tcW w:w="944" w:type="dxa"/>
            <w:tcBorders>
              <w:top w:val="single" w:color="auto" w:sz="4" w:space="0"/>
              <w:left w:val="single" w:color="auto" w:sz="4" w:space="0"/>
              <w:bottom w:val="single" w:color="auto"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2192" w:type="dxa"/>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988" w:type="dxa"/>
            <w:tcBorders>
              <w:top w:val="single" w:color="auto" w:sz="4" w:space="0"/>
              <w:left w:val="nil"/>
              <w:bottom w:val="single" w:color="auto"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170" w:type="dxa"/>
            <w:tcBorders>
              <w:top w:val="single" w:color="auto" w:sz="4" w:space="0"/>
              <w:left w:val="nil"/>
              <w:bottom w:val="single" w:color="auto" w:sz="4" w:space="0"/>
              <w:right w:val="single" w:color="auto"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4"/>
                <w:szCs w:val="24"/>
                <w:u w:val="none"/>
              </w:rPr>
            </w:pPr>
            <w:r>
              <w:rPr>
                <w:rFonts w:hint="default" w:ascii="方正仿宋_GBK" w:hAnsi="方正仿宋_GBK" w:eastAsia="方正仿宋_GBK" w:cs="方正仿宋_GBK"/>
                <w:i w:val="0"/>
                <w:iCs w:val="0"/>
                <w:color w:val="000000"/>
                <w:kern w:val="0"/>
                <w:sz w:val="24"/>
                <w:szCs w:val="24"/>
                <w:u w:val="none"/>
                <w:lang w:val="en-US" w:eastAsia="zh-CN" w:bidi="ar"/>
              </w:rPr>
              <w:t xml:space="preserve">     其他资金</w:t>
            </w:r>
          </w:p>
        </w:tc>
        <w:tc>
          <w:tcPr>
            <w:tcW w:w="94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674500</w:t>
            </w:r>
          </w:p>
        </w:tc>
        <w:tc>
          <w:tcPr>
            <w:tcW w:w="318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674500</w:t>
            </w:r>
          </w:p>
        </w:tc>
        <w:tc>
          <w:tcPr>
            <w:tcW w:w="117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总体目标完成情况</w:t>
            </w:r>
          </w:p>
        </w:tc>
        <w:tc>
          <w:tcPr>
            <w:tcW w:w="36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总体目标</w:t>
            </w:r>
          </w:p>
        </w:tc>
        <w:tc>
          <w:tcPr>
            <w:tcW w:w="43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2"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黑体_GBK" w:hAnsi="方正黑体_GBK" w:eastAsia="方正黑体_GBK" w:cs="方正黑体_GBK"/>
                <w:i w:val="0"/>
                <w:iCs w:val="0"/>
                <w:color w:val="000000"/>
                <w:sz w:val="24"/>
                <w:szCs w:val="24"/>
                <w:u w:val="none"/>
              </w:rPr>
            </w:pPr>
          </w:p>
        </w:tc>
        <w:tc>
          <w:tcPr>
            <w:tcW w:w="3695"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p>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p>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w:t>
            </w:r>
            <w:r>
              <w:rPr>
                <w:rStyle w:val="13"/>
                <w:rFonts w:eastAsia="宋体"/>
                <w:lang w:val="en-US" w:eastAsia="zh-CN" w:bidi="ar"/>
              </w:rPr>
              <w:t>1</w:t>
            </w:r>
            <w:r>
              <w:rPr>
                <w:rStyle w:val="14"/>
                <w:lang w:val="en-US" w:eastAsia="zh-CN" w:bidi="ar"/>
              </w:rPr>
              <w:t>：男女生宿舍窗户更换为铝合金窗户，目标2：学校操场硬化、高压线搭建、粉刷墙体等附属设施建设。</w:t>
            </w:r>
          </w:p>
        </w:tc>
        <w:tc>
          <w:tcPr>
            <w:tcW w:w="43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p>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目标1：男女生宿舍窗户更换为铝合金窗户，目标2：学校操场硬化、高压线搭建、粉刷墙体等附属设施建设。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1"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绩效指标</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2"/>
                <w:lang w:val="en-US" w:eastAsia="zh-CN" w:bidi="ar"/>
              </w:rPr>
            </w:pPr>
            <w:r>
              <w:rPr>
                <w:rStyle w:val="12"/>
                <w:lang w:val="en-US" w:eastAsia="zh-CN" w:bidi="ar"/>
              </w:rPr>
              <w:t>一级</w:t>
            </w:r>
          </w:p>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指标</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二级指标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三级指标</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指标值</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2"/>
                <w:lang w:val="en-US" w:eastAsia="zh-CN" w:bidi="ar"/>
              </w:rPr>
              <w:t>全年实际完成值</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5"/>
                <w:lang w:val="en-US" w:eastAsia="zh-CN" w:bidi="ar"/>
              </w:rPr>
            </w:pPr>
            <w:r>
              <w:rPr>
                <w:rStyle w:val="15"/>
                <w:lang w:val="en-US" w:eastAsia="zh-CN" w:bidi="ar"/>
              </w:rPr>
              <w:t>产</w:t>
            </w:r>
          </w:p>
          <w:p>
            <w:pPr>
              <w:keepNext w:val="0"/>
              <w:keepLines w:val="0"/>
              <w:widowControl/>
              <w:suppressLineNumbers w:val="0"/>
              <w:jc w:val="center"/>
              <w:textAlignment w:val="center"/>
              <w:rPr>
                <w:rStyle w:val="15"/>
                <w:lang w:val="en-US" w:eastAsia="zh-CN" w:bidi="ar"/>
              </w:rPr>
            </w:pPr>
            <w:r>
              <w:rPr>
                <w:rStyle w:val="15"/>
                <w:lang w:val="en-US" w:eastAsia="zh-CN" w:bidi="ar"/>
              </w:rPr>
              <w:t>出</w:t>
            </w:r>
          </w:p>
          <w:p>
            <w:pPr>
              <w:keepNext w:val="0"/>
              <w:keepLines w:val="0"/>
              <w:widowControl/>
              <w:suppressLineNumbers w:val="0"/>
              <w:jc w:val="center"/>
              <w:textAlignment w:val="center"/>
              <w:rPr>
                <w:rStyle w:val="15"/>
                <w:lang w:val="en-US" w:eastAsia="zh-CN" w:bidi="ar"/>
              </w:rPr>
            </w:pPr>
            <w:r>
              <w:rPr>
                <w:rStyle w:val="15"/>
                <w:lang w:val="en-US" w:eastAsia="zh-CN" w:bidi="ar"/>
              </w:rPr>
              <w:t>指</w:t>
            </w:r>
          </w:p>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5"/>
                <w:lang w:val="en-US" w:eastAsia="zh-CN" w:bidi="ar"/>
              </w:rPr>
              <w:t>标</w:t>
            </w:r>
            <w:r>
              <w:rPr>
                <w:rFonts w:hint="eastAsia" w:ascii="宋体" w:hAnsi="宋体" w:eastAsia="宋体" w:cs="宋体"/>
                <w:b/>
                <w:bCs/>
                <w:i w:val="0"/>
                <w:iCs w:val="0"/>
                <w:color w:val="000000"/>
                <w:kern w:val="0"/>
                <w:sz w:val="20"/>
                <w:szCs w:val="20"/>
                <w:u w:val="none"/>
                <w:lang w:val="en-US" w:eastAsia="zh-CN" w:bidi="ar"/>
              </w:rPr>
              <w:t>（40分）</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6"/>
                <w:rFonts w:ascii="宋体" w:hAnsi="宋体" w:eastAsia="宋体" w:cs="宋体"/>
                <w:sz w:val="24"/>
                <w:szCs w:val="24"/>
                <w:lang w:val="en-US" w:eastAsia="zh-CN" w:bidi="ar"/>
              </w:rPr>
              <w:t>数量指标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操场的硬化面积（</w:t>
            </w:r>
            <w:r>
              <w:rPr>
                <w:rStyle w:val="17"/>
                <w:rFonts w:eastAsia="宋体"/>
                <w:lang w:val="en-US" w:eastAsia="zh-CN" w:bidi="ar"/>
              </w:rPr>
              <w:t>≥</w:t>
            </w:r>
            <w:r>
              <w:rPr>
                <w:rStyle w:val="18"/>
                <w:lang w:val="en-US" w:eastAsia="zh-CN" w:bidi="ar"/>
              </w:rPr>
              <w:t>平方米）</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9201</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门窗的更换（≥平方米）</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墙体粉刷面积（≥平方米）</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16306</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6"/>
                <w:rFonts w:ascii="宋体" w:hAnsi="宋体" w:eastAsia="宋体" w:cs="宋体"/>
                <w:sz w:val="24"/>
                <w:szCs w:val="24"/>
                <w:lang w:val="en-US" w:eastAsia="zh-CN" w:bidi="ar"/>
              </w:rPr>
              <w:t>质量指标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改建工程验收合格率</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门窗的质量</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6"/>
                <w:rFonts w:ascii="宋体" w:hAnsi="宋体" w:eastAsia="宋体" w:cs="宋体"/>
                <w:sz w:val="24"/>
                <w:szCs w:val="24"/>
                <w:lang w:val="en-US" w:eastAsia="zh-CN" w:bidi="ar"/>
              </w:rPr>
              <w:t>时效指标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改善校舍进度</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按年度计划执行</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设备设施采购进度</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按年度计划执行</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6"/>
                <w:rFonts w:ascii="宋体" w:hAnsi="宋体" w:eastAsia="宋体" w:cs="宋体"/>
                <w:sz w:val="24"/>
                <w:szCs w:val="24"/>
                <w:lang w:val="en-US" w:eastAsia="zh-CN" w:bidi="ar"/>
              </w:rPr>
              <w:t>成本指标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操场硬化250700元</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操场硬化250700元</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操场硬化250700元</w:t>
            </w: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变压器总体资金150000元</w:t>
            </w:r>
          </w:p>
        </w:tc>
        <w:tc>
          <w:tcPr>
            <w:tcW w:w="219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变压器总体资金150000元</w:t>
            </w:r>
          </w:p>
        </w:tc>
        <w:tc>
          <w:tcPr>
            <w:tcW w:w="9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变压器总体资金150000元</w:t>
            </w:r>
          </w:p>
        </w:tc>
        <w:tc>
          <w:tcPr>
            <w:tcW w:w="1170" w:type="dxa"/>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墙体粉刷资金修缮门窗273800元</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墙体粉刷资金修缮门窗</w:t>
            </w:r>
            <w:r>
              <w:rPr>
                <w:rStyle w:val="19"/>
                <w:rFonts w:eastAsia="宋体"/>
                <w:lang w:val="en-US" w:eastAsia="zh-CN" w:bidi="ar"/>
              </w:rPr>
              <w:t>273800</w:t>
            </w:r>
            <w:r>
              <w:rPr>
                <w:rStyle w:val="20"/>
                <w:lang w:val="en-US" w:eastAsia="zh-CN" w:bidi="ar"/>
              </w:rPr>
              <w:t>元</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墙体粉刷资金修缮门窗</w:t>
            </w:r>
            <w:r>
              <w:rPr>
                <w:rStyle w:val="19"/>
                <w:rFonts w:eastAsia="宋体"/>
                <w:lang w:val="en-US" w:eastAsia="zh-CN" w:bidi="ar"/>
              </w:rPr>
              <w:t>273800</w:t>
            </w:r>
            <w:r>
              <w:rPr>
                <w:rStyle w:val="20"/>
                <w:lang w:val="en-US" w:eastAsia="zh-CN" w:bidi="ar"/>
              </w:rPr>
              <w:t>元</w:t>
            </w: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8"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5"/>
                <w:lang w:val="en-US" w:eastAsia="zh-CN" w:bidi="ar"/>
              </w:rPr>
            </w:pPr>
            <w:r>
              <w:rPr>
                <w:rStyle w:val="15"/>
                <w:lang w:val="en-US" w:eastAsia="zh-CN" w:bidi="ar"/>
              </w:rPr>
              <w:t>效</w:t>
            </w:r>
          </w:p>
          <w:p>
            <w:pPr>
              <w:keepNext w:val="0"/>
              <w:keepLines w:val="0"/>
              <w:widowControl/>
              <w:suppressLineNumbers w:val="0"/>
              <w:jc w:val="center"/>
              <w:textAlignment w:val="center"/>
              <w:rPr>
                <w:rStyle w:val="15"/>
                <w:lang w:val="en-US" w:eastAsia="zh-CN" w:bidi="ar"/>
              </w:rPr>
            </w:pPr>
            <w:r>
              <w:rPr>
                <w:rStyle w:val="15"/>
                <w:lang w:val="en-US" w:eastAsia="zh-CN" w:bidi="ar"/>
              </w:rPr>
              <w:t>益</w:t>
            </w:r>
          </w:p>
          <w:p>
            <w:pPr>
              <w:keepNext w:val="0"/>
              <w:keepLines w:val="0"/>
              <w:widowControl/>
              <w:suppressLineNumbers w:val="0"/>
              <w:jc w:val="center"/>
              <w:textAlignment w:val="center"/>
              <w:rPr>
                <w:rStyle w:val="15"/>
                <w:lang w:val="en-US" w:eastAsia="zh-CN" w:bidi="ar"/>
              </w:rPr>
            </w:pPr>
            <w:r>
              <w:rPr>
                <w:rStyle w:val="15"/>
                <w:lang w:val="en-US" w:eastAsia="zh-CN" w:bidi="ar"/>
              </w:rPr>
              <w:t>指</w:t>
            </w:r>
          </w:p>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Style w:val="15"/>
                <w:lang w:val="en-US" w:eastAsia="zh-CN" w:bidi="ar"/>
              </w:rPr>
              <w:t>标</w:t>
            </w:r>
            <w:r>
              <w:rPr>
                <w:rFonts w:hint="eastAsia" w:ascii="宋体" w:hAnsi="宋体" w:eastAsia="宋体" w:cs="宋体"/>
                <w:b/>
                <w:bCs/>
                <w:i w:val="0"/>
                <w:iCs w:val="0"/>
                <w:color w:val="000000"/>
                <w:kern w:val="0"/>
                <w:sz w:val="20"/>
                <w:szCs w:val="20"/>
                <w:u w:val="none"/>
                <w:lang w:val="en-US" w:eastAsia="zh-CN" w:bidi="ar"/>
              </w:rPr>
              <w:t>（40分）</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6"/>
                <w:rFonts w:ascii="宋体" w:hAnsi="宋体" w:eastAsia="宋体" w:cs="宋体"/>
                <w:sz w:val="24"/>
                <w:szCs w:val="24"/>
                <w:lang w:val="en-US" w:eastAsia="zh-CN" w:bidi="ar"/>
              </w:rPr>
            </w:pPr>
            <w:r>
              <w:rPr>
                <w:rStyle w:val="16"/>
                <w:rFonts w:ascii="宋体" w:hAnsi="宋体" w:eastAsia="宋体" w:cs="宋体"/>
                <w:sz w:val="24"/>
                <w:szCs w:val="24"/>
                <w:lang w:val="en-US" w:eastAsia="zh-CN" w:bidi="ar"/>
              </w:rPr>
              <w:t>经济效益</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6"/>
                <w:rFonts w:ascii="宋体" w:hAnsi="宋体" w:eastAsia="宋体" w:cs="宋体"/>
                <w:sz w:val="24"/>
                <w:szCs w:val="24"/>
                <w:lang w:val="en-US" w:eastAsia="zh-CN" w:bidi="ar"/>
              </w:rPr>
              <w:t>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变压器安装后减少电器烧坏维修费</w:t>
            </w:r>
            <w:r>
              <w:rPr>
                <w:rStyle w:val="17"/>
                <w:rFonts w:eastAsia="宋体"/>
                <w:lang w:val="en-US" w:eastAsia="zh-CN" w:bidi="ar"/>
              </w:rPr>
              <w:t>8000</w:t>
            </w:r>
            <w:r>
              <w:rPr>
                <w:rStyle w:val="18"/>
                <w:lang w:val="en-US" w:eastAsia="zh-CN" w:bidi="ar"/>
              </w:rPr>
              <w:t>元</w:t>
            </w:r>
            <w:r>
              <w:rPr>
                <w:rStyle w:val="17"/>
                <w:rFonts w:eastAsia="宋体"/>
                <w:lang w:val="en-US" w:eastAsia="zh-CN" w:bidi="ar"/>
              </w:rPr>
              <w:t>/</w:t>
            </w:r>
            <w:r>
              <w:rPr>
                <w:rStyle w:val="18"/>
                <w:lang w:val="en-US" w:eastAsia="zh-CN" w:bidi="ar"/>
              </w:rPr>
              <w:t>年</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变压器安装后减少电器烧坏维修费</w:t>
            </w:r>
            <w:r>
              <w:rPr>
                <w:rStyle w:val="17"/>
                <w:rFonts w:eastAsia="宋体"/>
                <w:lang w:val="en-US" w:eastAsia="zh-CN" w:bidi="ar"/>
              </w:rPr>
              <w:t>8000</w:t>
            </w:r>
            <w:r>
              <w:rPr>
                <w:rStyle w:val="18"/>
                <w:lang w:val="en-US" w:eastAsia="zh-CN" w:bidi="ar"/>
              </w:rPr>
              <w:t>元</w:t>
            </w:r>
            <w:r>
              <w:rPr>
                <w:rStyle w:val="17"/>
                <w:rFonts w:eastAsia="宋体"/>
                <w:lang w:val="en-US" w:eastAsia="zh-CN" w:bidi="ar"/>
              </w:rPr>
              <w:t>/</w:t>
            </w:r>
            <w:r>
              <w:rPr>
                <w:rStyle w:val="18"/>
                <w:lang w:val="en-US" w:eastAsia="zh-CN" w:bidi="ar"/>
              </w:rPr>
              <w:t>年</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变压器安装后减少电器烧坏维修费8000元/年</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操场硬化省去了除草劳务费</w:t>
            </w:r>
            <w:r>
              <w:rPr>
                <w:rStyle w:val="17"/>
                <w:rFonts w:eastAsia="宋体"/>
                <w:lang w:val="en-US" w:eastAsia="zh-CN" w:bidi="ar"/>
              </w:rPr>
              <w:t>1000</w:t>
            </w:r>
            <w:r>
              <w:rPr>
                <w:rStyle w:val="18"/>
                <w:lang w:val="en-US" w:eastAsia="zh-CN" w:bidi="ar"/>
              </w:rPr>
              <w:t>元</w:t>
            </w:r>
            <w:r>
              <w:rPr>
                <w:rStyle w:val="17"/>
                <w:rFonts w:eastAsia="宋体"/>
                <w:lang w:val="en-US" w:eastAsia="zh-CN" w:bidi="ar"/>
              </w:rPr>
              <w:t>/</w:t>
            </w:r>
            <w:r>
              <w:rPr>
                <w:rStyle w:val="18"/>
                <w:lang w:val="en-US" w:eastAsia="zh-CN" w:bidi="ar"/>
              </w:rPr>
              <w:t>年；省去了除草剂费</w:t>
            </w:r>
            <w:r>
              <w:rPr>
                <w:rStyle w:val="17"/>
                <w:rFonts w:eastAsia="宋体"/>
                <w:lang w:val="en-US" w:eastAsia="zh-CN" w:bidi="ar"/>
              </w:rPr>
              <w:t>1500</w:t>
            </w:r>
            <w:r>
              <w:rPr>
                <w:rStyle w:val="18"/>
                <w:lang w:val="en-US" w:eastAsia="zh-CN" w:bidi="ar"/>
              </w:rPr>
              <w:t>元</w:t>
            </w:r>
            <w:r>
              <w:rPr>
                <w:rStyle w:val="17"/>
                <w:rFonts w:eastAsia="宋体"/>
                <w:lang w:val="en-US" w:eastAsia="zh-CN" w:bidi="ar"/>
              </w:rPr>
              <w:t>/</w:t>
            </w:r>
            <w:r>
              <w:rPr>
                <w:rStyle w:val="18"/>
                <w:lang w:val="en-US" w:eastAsia="zh-CN" w:bidi="ar"/>
              </w:rPr>
              <w:t>年</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操场硬化省去了除草劳务费</w:t>
            </w:r>
            <w:r>
              <w:rPr>
                <w:rStyle w:val="17"/>
                <w:rFonts w:eastAsia="宋体"/>
                <w:lang w:val="en-US" w:eastAsia="zh-CN" w:bidi="ar"/>
              </w:rPr>
              <w:t>1000</w:t>
            </w:r>
            <w:r>
              <w:rPr>
                <w:rStyle w:val="18"/>
                <w:lang w:val="en-US" w:eastAsia="zh-CN" w:bidi="ar"/>
              </w:rPr>
              <w:t>元</w:t>
            </w:r>
            <w:r>
              <w:rPr>
                <w:rStyle w:val="17"/>
                <w:rFonts w:eastAsia="宋体"/>
                <w:lang w:val="en-US" w:eastAsia="zh-CN" w:bidi="ar"/>
              </w:rPr>
              <w:t>/</w:t>
            </w:r>
            <w:r>
              <w:rPr>
                <w:rStyle w:val="18"/>
                <w:lang w:val="en-US" w:eastAsia="zh-CN" w:bidi="ar"/>
              </w:rPr>
              <w:t>年；省去了除草剂费</w:t>
            </w:r>
            <w:r>
              <w:rPr>
                <w:rStyle w:val="17"/>
                <w:rFonts w:eastAsia="宋体"/>
                <w:lang w:val="en-US" w:eastAsia="zh-CN" w:bidi="ar"/>
              </w:rPr>
              <w:t>1500</w:t>
            </w:r>
            <w:r>
              <w:rPr>
                <w:rStyle w:val="18"/>
                <w:lang w:val="en-US" w:eastAsia="zh-CN" w:bidi="ar"/>
              </w:rPr>
              <w:t>元</w:t>
            </w:r>
            <w:r>
              <w:rPr>
                <w:rStyle w:val="17"/>
                <w:rFonts w:eastAsia="宋体"/>
                <w:lang w:val="en-US" w:eastAsia="zh-CN" w:bidi="ar"/>
              </w:rPr>
              <w:t>/</w:t>
            </w:r>
            <w:r>
              <w:rPr>
                <w:rStyle w:val="18"/>
                <w:lang w:val="en-US" w:eastAsia="zh-CN" w:bidi="ar"/>
              </w:rPr>
              <w:t>年</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操场硬化省去了除草劳务费</w:t>
            </w:r>
            <w:r>
              <w:rPr>
                <w:rStyle w:val="17"/>
                <w:rFonts w:eastAsia="宋体"/>
                <w:lang w:val="en-US" w:eastAsia="zh-CN" w:bidi="ar"/>
              </w:rPr>
              <w:t>1000</w:t>
            </w:r>
            <w:r>
              <w:rPr>
                <w:rStyle w:val="18"/>
                <w:lang w:val="en-US" w:eastAsia="zh-CN" w:bidi="ar"/>
              </w:rPr>
              <w:t>元</w:t>
            </w:r>
            <w:r>
              <w:rPr>
                <w:rStyle w:val="17"/>
                <w:rFonts w:eastAsia="宋体"/>
                <w:lang w:val="en-US" w:eastAsia="zh-CN" w:bidi="ar"/>
              </w:rPr>
              <w:t>/</w:t>
            </w:r>
            <w:r>
              <w:rPr>
                <w:rStyle w:val="18"/>
                <w:lang w:val="en-US" w:eastAsia="zh-CN" w:bidi="ar"/>
              </w:rPr>
              <w:t>年；省去了除草剂费</w:t>
            </w:r>
            <w:r>
              <w:rPr>
                <w:rStyle w:val="17"/>
                <w:rFonts w:eastAsia="宋体"/>
                <w:lang w:val="en-US" w:eastAsia="zh-CN" w:bidi="ar"/>
              </w:rPr>
              <w:t>1500</w:t>
            </w:r>
            <w:r>
              <w:rPr>
                <w:rStyle w:val="18"/>
                <w:lang w:val="en-US" w:eastAsia="zh-CN" w:bidi="ar"/>
              </w:rPr>
              <w:t>元</w:t>
            </w:r>
            <w:r>
              <w:rPr>
                <w:rStyle w:val="17"/>
                <w:rFonts w:eastAsia="宋体"/>
                <w:lang w:val="en-US" w:eastAsia="zh-CN" w:bidi="ar"/>
              </w:rPr>
              <w:t>/</w:t>
            </w:r>
            <w:r>
              <w:rPr>
                <w:rStyle w:val="18"/>
                <w:lang w:val="en-US" w:eastAsia="zh-CN" w:bidi="ar"/>
              </w:rPr>
              <w:t>年</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6"/>
                <w:rFonts w:ascii="宋体" w:hAnsi="宋体" w:eastAsia="宋体" w:cs="宋体"/>
                <w:sz w:val="24"/>
                <w:szCs w:val="24"/>
                <w:lang w:val="en-US" w:eastAsia="zh-CN" w:bidi="ar"/>
              </w:rPr>
            </w:pPr>
            <w:r>
              <w:rPr>
                <w:rStyle w:val="16"/>
                <w:rFonts w:ascii="宋体" w:hAnsi="宋体" w:eastAsia="宋体" w:cs="宋体"/>
                <w:sz w:val="24"/>
                <w:szCs w:val="24"/>
                <w:lang w:val="en-US" w:eastAsia="zh-CN" w:bidi="ar"/>
              </w:rPr>
              <w:t>社会效益</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Style w:val="16"/>
                <w:rFonts w:ascii="宋体" w:hAnsi="宋体" w:eastAsia="宋体" w:cs="宋体"/>
                <w:sz w:val="24"/>
                <w:szCs w:val="24"/>
                <w:lang w:val="en-US" w:eastAsia="zh-CN" w:bidi="ar"/>
              </w:rPr>
              <w:t>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受支持高中学校建设情况</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办学条件达到省定基本办学标准</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办学条件达到省定基本办学标准</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操场硬化后条件大大改善，让教师可以更好地上体育课，提高工作效率</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操场硬化后条件大大改善，让教师可以更好地上体育课，提高工作效率</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操场硬化后条件大大改善，让教师可以更好地上体育课，提高工作效率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r>
              <w:rPr>
                <w:rFonts w:hint="eastAsia" w:ascii="Times New Roman" w:hAnsi="Times New Roman" w:eastAsia="宋体" w:cs="Times New Roman"/>
                <w:i w:val="0"/>
                <w:iCs w:val="0"/>
                <w:color w:val="000000"/>
                <w:sz w:val="24"/>
                <w:szCs w:val="24"/>
                <w:u w:val="none"/>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满意度指标</w:t>
            </w:r>
          </w:p>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（20分）</w:t>
            </w:r>
          </w:p>
        </w:tc>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满意度</w:t>
            </w:r>
          </w:p>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指标</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学生家长满意度</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90%以上</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97%</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lang w:val="en-US" w:eastAsia="zh-CN"/>
              </w:rPr>
            </w:pPr>
            <w:r>
              <w:rPr>
                <w:rFonts w:hint="eastAsia" w:ascii="宋体" w:hAnsi="宋体" w:eastAsia="宋体" w:cs="宋体"/>
                <w:b/>
                <w:bCs/>
                <w:i w:val="0"/>
                <w:iCs w:val="0"/>
                <w:color w:val="000000"/>
                <w:kern w:val="0"/>
                <w:sz w:val="20"/>
                <w:szCs w:val="20"/>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bCs/>
                <w:i w:val="0"/>
                <w:iCs w:val="0"/>
                <w:color w:val="000000"/>
                <w:sz w:val="24"/>
                <w:szCs w:val="24"/>
                <w:u w:val="none"/>
              </w:rPr>
            </w:pPr>
          </w:p>
        </w:tc>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rPr>
            </w:pP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教师满意度</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90%以上</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98%</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方正黑体_GBK" w:hAnsi="方正黑体_GBK" w:eastAsia="方正黑体_GBK" w:cs="方正黑体_GBK"/>
                <w:i w:val="0"/>
                <w:iCs w:val="0"/>
                <w:color w:val="000000"/>
                <w:sz w:val="24"/>
                <w:szCs w:val="24"/>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总分</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4"/>
                <w:szCs w:val="24"/>
                <w:u w:val="none"/>
                <w:lang w:val="en-US" w:eastAsia="zh-CN"/>
              </w:rPr>
            </w:pPr>
            <w:r>
              <w:rPr>
                <w:rFonts w:hint="eastAsia" w:ascii="宋体" w:hAnsi="宋体" w:eastAsia="宋体" w:cs="宋体"/>
                <w:b/>
                <w:bCs/>
                <w:i w:val="0"/>
                <w:iCs w:val="0"/>
                <w:color w:val="000000"/>
                <w:kern w:val="0"/>
                <w:sz w:val="20"/>
                <w:szCs w:val="20"/>
                <w:u w:val="none"/>
                <w:lang w:val="en-US" w:eastAsia="zh-CN" w:bidi="ar"/>
              </w:rPr>
              <w:t>　</w:t>
            </w:r>
          </w:p>
        </w:tc>
        <w:tc>
          <w:tcPr>
            <w:tcW w:w="2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　</w:t>
            </w:r>
          </w:p>
        </w:tc>
        <w:tc>
          <w:tcPr>
            <w:tcW w:w="21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　</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lang w:val="en-US" w:eastAsia="zh-CN"/>
              </w:rPr>
            </w:pPr>
            <w:r>
              <w:rPr>
                <w:rFonts w:hint="eastAsia" w:ascii="宋体" w:hAnsi="宋体" w:eastAsia="宋体" w:cs="宋体"/>
                <w:b/>
                <w:bCs/>
                <w:i w:val="0"/>
                <w:iCs w:val="0"/>
                <w:color w:val="000000"/>
                <w:kern w:val="0"/>
                <w:sz w:val="20"/>
                <w:szCs w:val="20"/>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黑体_GBK" w:hAnsi="方正黑体_GBK" w:eastAsia="方正黑体_GBK" w:cs="方正黑体_GBK"/>
                <w:i w:val="0"/>
                <w:iCs w:val="0"/>
                <w:color w:val="000000"/>
                <w:sz w:val="24"/>
                <w:szCs w:val="24"/>
                <w:u w:val="none"/>
              </w:rPr>
            </w:pPr>
            <w:r>
              <w:rPr>
                <w:rFonts w:hint="default" w:ascii="方正黑体_GBK" w:hAnsi="方正黑体_GBK" w:eastAsia="方正黑体_GBK" w:cs="方正黑体_GBK"/>
                <w:i w:val="0"/>
                <w:iCs w:val="0"/>
                <w:color w:val="000000"/>
                <w:kern w:val="0"/>
                <w:sz w:val="24"/>
                <w:szCs w:val="24"/>
                <w:u w:val="none"/>
                <w:lang w:val="en-US" w:eastAsia="zh-CN" w:bidi="ar"/>
              </w:rPr>
              <w:t>说明</w:t>
            </w:r>
          </w:p>
        </w:tc>
        <w:tc>
          <w:tcPr>
            <w:tcW w:w="80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 xml:space="preserve">     </w:t>
            </w:r>
            <w:r>
              <w:rPr>
                <w:rStyle w:val="10"/>
                <w:lang w:val="en-US" w:eastAsia="zh-CN" w:bidi="ar"/>
              </w:rPr>
              <w:t>无</w:t>
            </w:r>
          </w:p>
        </w:tc>
      </w:tr>
    </w:tbl>
    <w:p>
      <w:pPr>
        <w:numPr>
          <w:ilvl w:val="0"/>
          <w:numId w:val="2"/>
        </w:numPr>
        <w:adjustRightInd w:val="0"/>
        <w:snapToGrid w:val="0"/>
        <w:spacing w:line="580" w:lineRule="exact"/>
        <w:ind w:left="420" w:leftChars="200"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财政评价项目绩效评价结果</w:t>
      </w:r>
    </w:p>
    <w:p>
      <w:pPr>
        <w:pStyle w:val="9"/>
        <w:spacing w:line="500" w:lineRule="exact"/>
        <w:ind w:firstLine="640"/>
        <w:rPr>
          <w:rFonts w:hint="eastAsia" w:ascii="仿宋_GB2312" w:hAnsi="Times New Roman" w:eastAsia="仿宋_GB2312" w:cs="DengXian-Regular"/>
          <w:kern w:val="2"/>
          <w:sz w:val="32"/>
          <w:szCs w:val="32"/>
          <w:lang w:val="en-US" w:eastAsia="zh-CN" w:bidi="ar-SA"/>
        </w:rPr>
      </w:pPr>
      <w:r>
        <w:rPr>
          <w:rFonts w:hint="eastAsia" w:ascii="仿宋_GB2312" w:hAnsi="Times New Roman" w:eastAsia="仿宋_GB2312" w:cs="DengXian-Regular"/>
          <w:kern w:val="2"/>
          <w:sz w:val="32"/>
          <w:szCs w:val="32"/>
          <w:lang w:val="en-US" w:eastAsia="zh-CN" w:bidi="ar-SA"/>
        </w:rPr>
        <w:t>针对不足，我们将继续努力不断健全制度，完善政策、改进管理、优化流程不断提高部门绩效管理水平。具体如下：</w:t>
      </w:r>
    </w:p>
    <w:p>
      <w:pPr>
        <w:pStyle w:val="9"/>
        <w:spacing w:line="500" w:lineRule="exact"/>
        <w:ind w:firstLine="640"/>
        <w:rPr>
          <w:rFonts w:hint="eastAsia" w:ascii="仿宋_GB2312" w:hAnsi="Times New Roman" w:eastAsia="仿宋_GB2312" w:cs="DengXian-Regular"/>
          <w:kern w:val="2"/>
          <w:sz w:val="32"/>
          <w:szCs w:val="32"/>
          <w:lang w:val="en-US" w:eastAsia="zh-CN" w:bidi="ar-SA"/>
        </w:rPr>
      </w:pPr>
      <w:r>
        <w:rPr>
          <w:rFonts w:hint="eastAsia" w:ascii="仿宋_GB2312" w:hAnsi="Times New Roman" w:eastAsia="仿宋_GB2312" w:cs="DengXian-Regular"/>
          <w:kern w:val="2"/>
          <w:sz w:val="32"/>
          <w:szCs w:val="32"/>
          <w:lang w:val="en-US" w:eastAsia="zh-CN" w:bidi="ar-SA"/>
        </w:rPr>
        <w:t>（1）不断学习新知识，努力接收新政策，提前预测，科学把控，全面预算。</w:t>
      </w:r>
    </w:p>
    <w:p>
      <w:pPr>
        <w:pStyle w:val="9"/>
        <w:spacing w:line="500" w:lineRule="exact"/>
        <w:ind w:firstLine="640"/>
        <w:rPr>
          <w:rFonts w:hint="eastAsia" w:ascii="仿宋_GB2312" w:hAnsi="Times New Roman" w:eastAsia="仿宋_GB2312" w:cs="DengXian-Regular"/>
          <w:kern w:val="2"/>
          <w:sz w:val="32"/>
          <w:szCs w:val="32"/>
          <w:lang w:val="en-US" w:eastAsia="zh-CN" w:bidi="ar-SA"/>
        </w:rPr>
      </w:pPr>
      <w:r>
        <w:rPr>
          <w:rFonts w:hint="eastAsia" w:ascii="仿宋_GB2312" w:hAnsi="Times New Roman" w:eastAsia="仿宋_GB2312" w:cs="DengXian-Regular"/>
          <w:kern w:val="2"/>
          <w:sz w:val="32"/>
          <w:szCs w:val="32"/>
          <w:lang w:val="en-US" w:eastAsia="zh-CN" w:bidi="ar-SA"/>
        </w:rPr>
        <w:t>（2）要不断清查学生人数，精密测算，准确定位，尽量保证上下年的人数不会有太大差距。</w:t>
      </w:r>
    </w:p>
    <w:p>
      <w:pPr>
        <w:pStyle w:val="9"/>
        <w:numPr>
          <w:ilvl w:val="0"/>
          <w:numId w:val="3"/>
        </w:numPr>
        <w:spacing w:line="500" w:lineRule="exact"/>
        <w:ind w:left="1287" w:hanging="720" w:firstLineChars="0"/>
        <w:rPr>
          <w:rFonts w:hint="eastAsia" w:ascii="仿宋_GB2312" w:hAnsi="Times New Roman" w:eastAsia="仿宋_GB2312" w:cs="DengXian-Regular"/>
          <w:kern w:val="2"/>
          <w:sz w:val="32"/>
          <w:szCs w:val="32"/>
          <w:lang w:val="en-US" w:eastAsia="zh-CN" w:bidi="ar-SA"/>
        </w:rPr>
      </w:pPr>
      <w:r>
        <w:rPr>
          <w:rFonts w:hint="eastAsia" w:ascii="仿宋_GB2312" w:hAnsi="Times New Roman" w:eastAsia="仿宋_GB2312" w:cs="DengXian-Regular"/>
          <w:kern w:val="2"/>
          <w:sz w:val="32"/>
          <w:szCs w:val="32"/>
          <w:lang w:val="en-US" w:eastAsia="zh-CN" w:bidi="ar-SA"/>
        </w:rPr>
        <w:t>找准定位，既要保证政策全面落实，不折不扣，又要保证资金有效利用，不会浪费。</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黑体" w:hAnsi="Calibri" w:eastAsia="黑体" w:cs="Times New Roman"/>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事业单位无机关</w:t>
      </w:r>
      <w:r>
        <w:rPr>
          <w:rFonts w:hint="eastAsia" w:ascii="仿宋_GB2312" w:hAnsi="Times New Roman" w:eastAsia="仿宋_GB2312" w:cs="DengXian-Regular"/>
          <w:sz w:val="32"/>
          <w:szCs w:val="32"/>
        </w:rPr>
        <w:t>运行经费。</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hint="eastAsia" w:ascii="黑体" w:hAnsi="Calibri" w:eastAsia="黑体" w:cs="Times New Roman"/>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万元、政府采购服务支出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snapToGrid w:val="0"/>
        <w:spacing w:line="580" w:lineRule="exact"/>
        <w:ind w:firstLine="640" w:firstLineChars="200"/>
        <w:jc w:val="left"/>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辆，主要是本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没有公务用车</w:t>
      </w:r>
      <w:r>
        <w:rPr>
          <w:rFonts w:hint="eastAsia" w:ascii="仿宋_GB2312" w:hAnsi="Times New Roman" w:eastAsia="仿宋_GB2312" w:cs="DengXian-Regular"/>
          <w:sz w:val="32"/>
          <w:szCs w:val="32"/>
          <w:lang w:val="en-US" w:eastAsia="zh-CN"/>
        </w:rPr>
        <w:t xml:space="preserve"> </w:t>
      </w:r>
      <w:r>
        <w:rPr>
          <w:rFonts w:hint="eastAsia" w:ascii="仿宋_GB2312" w:hAnsi="Times New Roman" w:eastAsia="仿宋_GB2312" w:cs="DengXian-Regular"/>
          <w:sz w:val="32"/>
          <w:szCs w:val="32"/>
        </w:rPr>
        <w:t>。</w:t>
      </w:r>
    </w:p>
    <w:p>
      <w:pPr>
        <w:snapToGrid w:val="0"/>
        <w:spacing w:line="580" w:lineRule="exact"/>
        <w:ind w:firstLine="640" w:firstLineChars="200"/>
        <w:jc w:val="left"/>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单位价值50万元以上通用设备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套，主要是没有单位价值50万元以上通用设备，单位价值100万元以上专用设备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台（套）比上年增加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套，主要是没有单位价值100万元以上专用设备。</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snapToGrid w:val="0"/>
        <w:spacing w:line="580" w:lineRule="exact"/>
        <w:ind w:firstLine="640" w:firstLineChars="200"/>
        <w:jc w:val="left"/>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2021年度未发生国有资金经营预算收支及结转结余情况，故国有资本经营预算财政拨款支出决算表以空表列示。</w:t>
      </w:r>
    </w:p>
    <w:p>
      <w:pPr>
        <w:snapToGrid w:val="0"/>
        <w:spacing w:line="580" w:lineRule="exact"/>
        <w:ind w:firstLine="640" w:firstLineChars="200"/>
        <w:jc w:val="left"/>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spacing w:line="56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line="560" w:lineRule="exact"/>
        <w:ind w:firstLine="2640" w:firstLineChars="6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line="560" w:lineRule="exact"/>
        <w:ind w:firstLine="2640" w:firstLineChars="6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line="560" w:lineRule="exact"/>
        <w:ind w:firstLine="2640" w:firstLineChars="6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line="560" w:lineRule="exact"/>
        <w:ind w:firstLine="1760" w:firstLineChars="400"/>
        <w:rPr>
          <w:rFonts w:hint="eastAsia" w:ascii="仿宋_GB2312" w:hAnsi="宋体" w:eastAsia="仿宋_GB2312" w:cs="Times New Roman"/>
          <w:b/>
          <w:bCs/>
          <w:color w:val="000000"/>
          <w:kern w:val="0"/>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0" w:firstLineChars="200"/>
        <w:rPr>
          <w:rFonts w:hint="eastAsia" w:ascii="仿宋_GB2312" w:hAnsi="宋体" w:eastAsia="仿宋_GB2312" w:cs="Times New Roman"/>
          <w:b/>
          <w:bCs/>
          <w:color w:val="000000"/>
          <w:kern w:val="0"/>
          <w:sz w:val="32"/>
          <w:szCs w:val="32"/>
        </w:rPr>
      </w:pPr>
      <w:r>
        <w:rPr>
          <w:rFonts w:hint="eastAsia" w:ascii="仿宋_GB2312" w:hAnsi="宋体" w:eastAsia="仿宋_GB2312" w:cs="Times New Roman"/>
          <w:color w:val="000000"/>
          <w:kern w:val="0"/>
          <w:sz w:val="32"/>
          <w:szCs w:val="32"/>
        </w:rPr>
        <w:drawing>
          <wp:anchor distT="0" distB="0" distL="114300" distR="114300" simplePos="0" relativeHeight="251676672" behindDoc="0" locked="0" layoutInCell="1" allowOverlap="1">
            <wp:simplePos x="0" y="0"/>
            <wp:positionH relativeFrom="column">
              <wp:posOffset>88900</wp:posOffset>
            </wp:positionH>
            <wp:positionV relativeFrom="margin">
              <wp:posOffset>3299460</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9">
                      <a:extLst>
                        <a:ext uri="{96DAC541-7B7A-43D3-8B79-37D633B846F1}">
                          <asvg:svgBlip xmlns:asvg="http://schemas.microsoft.com/office/drawing/2016/SVG/main" r:embed="rId30"/>
                        </a:ext>
                      </a:extLst>
                    </a:blip>
                    <a:stretch>
                      <a:fillRect/>
                    </a:stretch>
                  </pic:blipFill>
                  <pic:spPr>
                    <a:xfrm>
                      <a:off x="0" y="0"/>
                      <a:ext cx="640080" cy="640080"/>
                    </a:xfrm>
                    <a:prstGeom prst="rect">
                      <a:avLst/>
                    </a:prstGeom>
                  </pic:spPr>
                </pic:pic>
              </a:graphicData>
            </a:graphic>
          </wp:anchor>
        </w:drawing>
      </w: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宋体" w:eastAsia="仿宋_GB2312" w:cs="Times New Roman"/>
          <w:b/>
          <w:bCs/>
          <w:color w:val="000000"/>
          <w:kern w:val="0"/>
          <w:sz w:val="32"/>
          <w:szCs w:val="32"/>
        </w:rPr>
      </w:pPr>
    </w:p>
    <w:p>
      <w:pPr>
        <w:widowControl/>
        <w:spacing w:line="560" w:lineRule="exact"/>
        <w:rPr>
          <w:rFonts w:hint="eastAsia" w:ascii="仿宋_GB2312" w:hAnsi="宋体" w:eastAsia="仿宋_GB2312" w:cs="Times New Roman"/>
          <w:b/>
          <w:bCs/>
          <w:color w:val="000000"/>
          <w:kern w:val="0"/>
          <w:sz w:val="32"/>
          <w:szCs w:val="32"/>
        </w:rPr>
      </w:pPr>
    </w:p>
    <w:p>
      <w:pPr>
        <w:widowControl/>
        <w:spacing w:line="560" w:lineRule="exact"/>
        <w:ind w:firstLine="643" w:firstLineChars="200"/>
        <w:rPr>
          <w:rFonts w:hint="eastAsia" w:ascii="仿宋_GB2312" w:hAnsi="Times New Roman" w:eastAsia="仿宋_GB2312" w:cs="DengXian-Regular"/>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Times New Roman" w:eastAsia="仿宋_GB2312" w:cs="DengXian-Regular"/>
          <w:sz w:val="32"/>
          <w:szCs w:val="32"/>
        </w:rPr>
        <w:t>本年度从本级财政部门取得的财政拨款，包括一般公共预算财政拨款和政府性基金预算财政拨款。</w:t>
      </w:r>
    </w:p>
    <w:p>
      <w:pPr>
        <w:widowControl/>
        <w:spacing w:line="560" w:lineRule="exact"/>
        <w:ind w:firstLine="643" w:firstLineChars="200"/>
        <w:rPr>
          <w:rFonts w:hint="eastAsia" w:ascii="仿宋_GB2312" w:hAnsi="Times New Roman" w:eastAsia="仿宋_GB2312" w:cs="DengXian-Regular"/>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Times New Roman" w:eastAsia="仿宋_GB2312" w:cs="DengXian-Regular"/>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p/>
    <w:p/>
    <w:p/>
    <w:p/>
    <w:p/>
    <w:p/>
    <w:p/>
    <w:p/>
    <w:p/>
    <w:p/>
    <w:p/>
    <w:p/>
    <w:p/>
    <w:p/>
    <w:p/>
    <w:p/>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
      <w:pPr>
        <w:bidi w:val="0"/>
        <w:rPr>
          <w:rFonts w:asciiTheme="minorHAnsi" w:hAnsiTheme="minorHAnsi" w:eastAsiaTheme="minorEastAsia" w:cstheme="minorBidi"/>
          <w:kern w:val="2"/>
          <w:sz w:val="21"/>
          <w:szCs w:val="22"/>
          <w:lang w:val="en-US" w:eastAsia="zh-CN" w:bidi="ar-SA"/>
        </w:rPr>
      </w:pPr>
    </w:p>
    <w:p>
      <w:pPr>
        <w:bidi w:val="0"/>
        <w:rPr>
          <w:lang w:val="en-US" w:eastAsia="zh-CN"/>
        </w:rPr>
      </w:pPr>
    </w:p>
    <w:p>
      <w:pPr>
        <w:bidi w:val="0"/>
        <w:rPr>
          <w:lang w:val="en-US" w:eastAsia="zh-CN"/>
        </w:rPr>
      </w:pPr>
    </w:p>
    <w:p>
      <w:pPr>
        <w:bidi w:val="0"/>
        <w:ind w:firstLine="515" w:firstLineChars="0"/>
        <w:jc w:val="left"/>
        <w:rPr>
          <w:lang w:val="en-US" w:eastAsia="zh-CN"/>
        </w:rPr>
      </w:pPr>
    </w:p>
    <w:p>
      <w:pPr>
        <w:bidi w:val="0"/>
        <w:ind w:firstLine="515" w:firstLineChars="0"/>
        <w:jc w:val="left"/>
        <w:rPr>
          <w:lang w:val="en-US" w:eastAsia="zh-CN"/>
        </w:rPr>
      </w:pPr>
    </w:p>
    <w:p>
      <w:pPr>
        <w:tabs>
          <w:tab w:val="left" w:pos="921"/>
        </w:tabs>
        <w:bidi w:val="0"/>
        <w:jc w:val="left"/>
        <w:rPr>
          <w:rFonts w:asciiTheme="minorHAnsi" w:hAnsiTheme="minorHAnsi" w:eastAsiaTheme="minorEastAsia" w:cstheme="minorBidi"/>
          <w:kern w:val="2"/>
          <w:sz w:val="21"/>
          <w:szCs w:val="22"/>
          <w:lang w:val="en-US" w:eastAsia="zh-CN" w:bidi="ar-SA"/>
        </w:rPr>
      </w:pPr>
    </w:p>
    <w:sectPr>
      <w:headerReference r:id="rId8" w:type="default"/>
      <w:footerReference r:id="rId9" w:type="default"/>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仿宋">
    <w:panose1 w:val="02010609060101010101"/>
    <w:charset w:val="86"/>
    <w:family w:val="auto"/>
    <w:pitch w:val="default"/>
    <w:sig w:usb0="800002BF" w:usb1="38CF7CFA" w:usb2="00000016" w:usb3="00000000" w:csb0="00040001" w:csb1="00000000"/>
  </w:font>
  <w:font w:name="DengXian-Regular">
    <w:altName w:val="宋体"/>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DengXian-Bold">
    <w:altName w:val="宋体"/>
    <w:panose1 w:val="00000000000000000000"/>
    <w:charset w:val="86"/>
    <w:family w:val="auto"/>
    <w:pitch w:val="default"/>
    <w:sig w:usb0="00000000" w:usb1="00000000" w:usb2="00000010"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MS-UIGothic,Bold">
    <w:altName w:val="Malgun Gothic"/>
    <w:panose1 w:val="00000000000000000000"/>
    <w:charset w:val="81"/>
    <w:family w:val="auto"/>
    <w:pitch w:val="default"/>
    <w:sig w:usb0="00000000" w:usb1="00000000" w:usb2="00000010" w:usb3="00000000" w:csb0="00080000" w:csb1="00000000"/>
  </w:font>
  <w:font w:name="Cambria">
    <w:panose1 w:val="02040503050406030204"/>
    <w:charset w:val="00"/>
    <w:family w:val="roman"/>
    <w:pitch w:val="default"/>
    <w:sig w:usb0="E00002FF" w:usb1="400004FF" w:usb2="00000000" w:usb3="00000000" w:csb0="2000019F"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decimal"/>
      <w:suff w:val="nothing"/>
      <w:lvlText w:val="（%1）"/>
      <w:lvlJc w:val="left"/>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F8A1E36"/>
    <w:multiLevelType w:val="singleLevel"/>
    <w:tmpl w:val="0F8A1E36"/>
    <w:lvl w:ilvl="0" w:tentative="0">
      <w:start w:val="1"/>
      <w:numFmt w:val="decimal"/>
      <w:lvlText w:val="%1."/>
      <w:lvlJc w:val="left"/>
      <w:pPr>
        <w:tabs>
          <w:tab w:val="left" w:pos="312"/>
        </w:tabs>
      </w:pPr>
    </w:lvl>
  </w:abstractNum>
  <w:abstractNum w:abstractNumId="2">
    <w:nsid w:val="45DB9A87"/>
    <w:multiLevelType w:val="singleLevel"/>
    <w:tmpl w:val="45DB9A87"/>
    <w:lvl w:ilvl="0" w:tentative="0">
      <w:start w:val="3"/>
      <w:numFmt w:val="chineseCounting"/>
      <w:suff w:val="nothing"/>
      <w:lvlText w:val="（%1）"/>
      <w:lvlJc w:val="left"/>
      <w:rPr>
        <w:rFonts w:hint="eastAsia"/>
      </w:rPr>
    </w:lvl>
  </w:abstractNum>
  <w:num w:numId="1">
    <w:abstractNumId w:val="1"/>
  </w:num>
  <w:num w:numId="2">
    <w:abstractNumId w:val="2"/>
  </w:num>
  <w:num w:numId="3">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jIxLCJoZGlkIjoiODU3ZmZjNGI4YjMyM2MxOGRlYzZmMTAwMTgyNTkzMDciLCJ1c2VyQ291bnQiOjE3fQ=="/>
  </w:docVars>
  <w:rsids>
    <w:rsidRoot w:val="00172A27"/>
    <w:rsid w:val="000031F7"/>
    <w:rsid w:val="00014862"/>
    <w:rsid w:val="001377A9"/>
    <w:rsid w:val="00172A27"/>
    <w:rsid w:val="00314834"/>
    <w:rsid w:val="004550B9"/>
    <w:rsid w:val="0051575E"/>
    <w:rsid w:val="005B2633"/>
    <w:rsid w:val="00663586"/>
    <w:rsid w:val="007B4464"/>
    <w:rsid w:val="00896712"/>
    <w:rsid w:val="008E5668"/>
    <w:rsid w:val="009718A8"/>
    <w:rsid w:val="00A41184"/>
    <w:rsid w:val="00A66109"/>
    <w:rsid w:val="00B86E38"/>
    <w:rsid w:val="00C21492"/>
    <w:rsid w:val="00C418F5"/>
    <w:rsid w:val="00CE4C2D"/>
    <w:rsid w:val="00CE755E"/>
    <w:rsid w:val="00D264B9"/>
    <w:rsid w:val="00DA0B17"/>
    <w:rsid w:val="00DF42C4"/>
    <w:rsid w:val="00DF688D"/>
    <w:rsid w:val="00E669B9"/>
    <w:rsid w:val="00E86E79"/>
    <w:rsid w:val="00FC3F68"/>
    <w:rsid w:val="012D66CB"/>
    <w:rsid w:val="018E53BB"/>
    <w:rsid w:val="01B752BF"/>
    <w:rsid w:val="01BC24A9"/>
    <w:rsid w:val="01FA25A2"/>
    <w:rsid w:val="023E2E81"/>
    <w:rsid w:val="024B505A"/>
    <w:rsid w:val="02591D23"/>
    <w:rsid w:val="0282367A"/>
    <w:rsid w:val="02963DFC"/>
    <w:rsid w:val="02ED1C6E"/>
    <w:rsid w:val="02F0364C"/>
    <w:rsid w:val="02F2691F"/>
    <w:rsid w:val="03236CF5"/>
    <w:rsid w:val="032B09E8"/>
    <w:rsid w:val="034D095E"/>
    <w:rsid w:val="03735164"/>
    <w:rsid w:val="04297B18"/>
    <w:rsid w:val="046627EA"/>
    <w:rsid w:val="048E56D2"/>
    <w:rsid w:val="04BB31FA"/>
    <w:rsid w:val="04C410F4"/>
    <w:rsid w:val="04FA68C4"/>
    <w:rsid w:val="05273E55"/>
    <w:rsid w:val="0649643D"/>
    <w:rsid w:val="065336FB"/>
    <w:rsid w:val="06EB1AB6"/>
    <w:rsid w:val="07027CB2"/>
    <w:rsid w:val="070C28DE"/>
    <w:rsid w:val="07CF4038"/>
    <w:rsid w:val="080041F1"/>
    <w:rsid w:val="08817F30"/>
    <w:rsid w:val="0895702F"/>
    <w:rsid w:val="09265ED9"/>
    <w:rsid w:val="092C5D41"/>
    <w:rsid w:val="09322AD0"/>
    <w:rsid w:val="096B7D90"/>
    <w:rsid w:val="099D6B31"/>
    <w:rsid w:val="09A11A04"/>
    <w:rsid w:val="09ED2377"/>
    <w:rsid w:val="09FD66D9"/>
    <w:rsid w:val="0A614B08"/>
    <w:rsid w:val="0A6842D0"/>
    <w:rsid w:val="0A6A0048"/>
    <w:rsid w:val="0ABD3C8A"/>
    <w:rsid w:val="0AD46115"/>
    <w:rsid w:val="0AFD710E"/>
    <w:rsid w:val="0BB92B3F"/>
    <w:rsid w:val="0BEF4CA9"/>
    <w:rsid w:val="0C1E10EA"/>
    <w:rsid w:val="0D5D3E94"/>
    <w:rsid w:val="0D84433D"/>
    <w:rsid w:val="0D91662B"/>
    <w:rsid w:val="0D951880"/>
    <w:rsid w:val="0E8A1F60"/>
    <w:rsid w:val="0EAF4BC3"/>
    <w:rsid w:val="0EC96175"/>
    <w:rsid w:val="0EF40828"/>
    <w:rsid w:val="0F26681A"/>
    <w:rsid w:val="0F492922"/>
    <w:rsid w:val="0F4D20F6"/>
    <w:rsid w:val="10093E5F"/>
    <w:rsid w:val="107E65FB"/>
    <w:rsid w:val="10B242CF"/>
    <w:rsid w:val="10CD1330"/>
    <w:rsid w:val="10E072B6"/>
    <w:rsid w:val="10F44F3E"/>
    <w:rsid w:val="11124F95"/>
    <w:rsid w:val="11234BCD"/>
    <w:rsid w:val="11592BC4"/>
    <w:rsid w:val="117F719B"/>
    <w:rsid w:val="11F4604E"/>
    <w:rsid w:val="12361BC0"/>
    <w:rsid w:val="126058A6"/>
    <w:rsid w:val="1293727A"/>
    <w:rsid w:val="12A64609"/>
    <w:rsid w:val="12F928B1"/>
    <w:rsid w:val="130C39A8"/>
    <w:rsid w:val="135626E5"/>
    <w:rsid w:val="136D16FB"/>
    <w:rsid w:val="13AA21BF"/>
    <w:rsid w:val="13EE44DB"/>
    <w:rsid w:val="13EF2AD8"/>
    <w:rsid w:val="144B07D6"/>
    <w:rsid w:val="145F4995"/>
    <w:rsid w:val="14942891"/>
    <w:rsid w:val="14A45353"/>
    <w:rsid w:val="14C61597"/>
    <w:rsid w:val="156E6792"/>
    <w:rsid w:val="15CD7C7F"/>
    <w:rsid w:val="15E45152"/>
    <w:rsid w:val="15F20809"/>
    <w:rsid w:val="168B1A72"/>
    <w:rsid w:val="169C77DB"/>
    <w:rsid w:val="16F413C5"/>
    <w:rsid w:val="17650515"/>
    <w:rsid w:val="17795D6E"/>
    <w:rsid w:val="1785384D"/>
    <w:rsid w:val="17A00827"/>
    <w:rsid w:val="17C81C72"/>
    <w:rsid w:val="17D70D31"/>
    <w:rsid w:val="17E56F60"/>
    <w:rsid w:val="17FF4863"/>
    <w:rsid w:val="18212FCB"/>
    <w:rsid w:val="185E7C37"/>
    <w:rsid w:val="18770500"/>
    <w:rsid w:val="187C5B16"/>
    <w:rsid w:val="187F3D94"/>
    <w:rsid w:val="189F1804"/>
    <w:rsid w:val="18DD452D"/>
    <w:rsid w:val="190C5755"/>
    <w:rsid w:val="199E1ABC"/>
    <w:rsid w:val="19CD414F"/>
    <w:rsid w:val="1A3D2C72"/>
    <w:rsid w:val="1A804B67"/>
    <w:rsid w:val="1B027E29"/>
    <w:rsid w:val="1B684664"/>
    <w:rsid w:val="1BC23D88"/>
    <w:rsid w:val="1BD96DDB"/>
    <w:rsid w:val="1C436D12"/>
    <w:rsid w:val="1C516EB8"/>
    <w:rsid w:val="1C9938F9"/>
    <w:rsid w:val="1CC25D6D"/>
    <w:rsid w:val="1CC453C6"/>
    <w:rsid w:val="1CD04682"/>
    <w:rsid w:val="1D0E51AB"/>
    <w:rsid w:val="1D19746F"/>
    <w:rsid w:val="1D4A4435"/>
    <w:rsid w:val="1DE97E45"/>
    <w:rsid w:val="1E9D67E6"/>
    <w:rsid w:val="1EC250D3"/>
    <w:rsid w:val="1F5441E9"/>
    <w:rsid w:val="1F8B2AE2"/>
    <w:rsid w:val="1F8B4890"/>
    <w:rsid w:val="1F8D094E"/>
    <w:rsid w:val="1FC0311C"/>
    <w:rsid w:val="20225BC9"/>
    <w:rsid w:val="20240A68"/>
    <w:rsid w:val="203E1903"/>
    <w:rsid w:val="207520C3"/>
    <w:rsid w:val="20C55B80"/>
    <w:rsid w:val="21226B9A"/>
    <w:rsid w:val="214B077B"/>
    <w:rsid w:val="216937C4"/>
    <w:rsid w:val="21BE3E15"/>
    <w:rsid w:val="21EB1C57"/>
    <w:rsid w:val="220C7CCA"/>
    <w:rsid w:val="224F6049"/>
    <w:rsid w:val="22561186"/>
    <w:rsid w:val="225B4C6A"/>
    <w:rsid w:val="22714212"/>
    <w:rsid w:val="228719AD"/>
    <w:rsid w:val="228A0E2F"/>
    <w:rsid w:val="229F7C2A"/>
    <w:rsid w:val="23261812"/>
    <w:rsid w:val="233D5EA2"/>
    <w:rsid w:val="235F050E"/>
    <w:rsid w:val="23E17175"/>
    <w:rsid w:val="244A4D1A"/>
    <w:rsid w:val="246A0F18"/>
    <w:rsid w:val="250C0222"/>
    <w:rsid w:val="2562367B"/>
    <w:rsid w:val="257162D7"/>
    <w:rsid w:val="2584425C"/>
    <w:rsid w:val="25EC3C23"/>
    <w:rsid w:val="26233A75"/>
    <w:rsid w:val="267C22D4"/>
    <w:rsid w:val="272E0923"/>
    <w:rsid w:val="27FD2733"/>
    <w:rsid w:val="285160D9"/>
    <w:rsid w:val="28771E56"/>
    <w:rsid w:val="28B906C0"/>
    <w:rsid w:val="28C055AB"/>
    <w:rsid w:val="28DD1BE2"/>
    <w:rsid w:val="297B3BC8"/>
    <w:rsid w:val="298505A2"/>
    <w:rsid w:val="298605CB"/>
    <w:rsid w:val="298D118D"/>
    <w:rsid w:val="29D165BD"/>
    <w:rsid w:val="29D82DC8"/>
    <w:rsid w:val="29F01EC0"/>
    <w:rsid w:val="2A026E11"/>
    <w:rsid w:val="2A7F3244"/>
    <w:rsid w:val="2AA42CAA"/>
    <w:rsid w:val="2B4104F9"/>
    <w:rsid w:val="2B471FB3"/>
    <w:rsid w:val="2B874954"/>
    <w:rsid w:val="2BD355F5"/>
    <w:rsid w:val="2C2440A3"/>
    <w:rsid w:val="2CDE6908"/>
    <w:rsid w:val="2CEF036C"/>
    <w:rsid w:val="2D173C5D"/>
    <w:rsid w:val="2DED2F03"/>
    <w:rsid w:val="2E20089A"/>
    <w:rsid w:val="2E6A7D67"/>
    <w:rsid w:val="2E6B6CDC"/>
    <w:rsid w:val="2EA74B17"/>
    <w:rsid w:val="2F6241AB"/>
    <w:rsid w:val="2F763484"/>
    <w:rsid w:val="2F83440A"/>
    <w:rsid w:val="2FF67AD2"/>
    <w:rsid w:val="307258E5"/>
    <w:rsid w:val="308B0D67"/>
    <w:rsid w:val="308E4E30"/>
    <w:rsid w:val="30AB4D93"/>
    <w:rsid w:val="31321010"/>
    <w:rsid w:val="31575ED2"/>
    <w:rsid w:val="316275E9"/>
    <w:rsid w:val="318461B7"/>
    <w:rsid w:val="319B4880"/>
    <w:rsid w:val="3207249C"/>
    <w:rsid w:val="32A31C4C"/>
    <w:rsid w:val="32A4455B"/>
    <w:rsid w:val="32A74939"/>
    <w:rsid w:val="32B14444"/>
    <w:rsid w:val="32B53CA7"/>
    <w:rsid w:val="331D7C82"/>
    <w:rsid w:val="332A7A5C"/>
    <w:rsid w:val="339733AC"/>
    <w:rsid w:val="33B91574"/>
    <w:rsid w:val="33BA6A31"/>
    <w:rsid w:val="33CD2241"/>
    <w:rsid w:val="340118A2"/>
    <w:rsid w:val="343230D5"/>
    <w:rsid w:val="34892E34"/>
    <w:rsid w:val="34967CFD"/>
    <w:rsid w:val="35207C25"/>
    <w:rsid w:val="35700359"/>
    <w:rsid w:val="35BC0472"/>
    <w:rsid w:val="35C00828"/>
    <w:rsid w:val="35C0123F"/>
    <w:rsid w:val="36A302BA"/>
    <w:rsid w:val="36F56D67"/>
    <w:rsid w:val="37533A8E"/>
    <w:rsid w:val="37AB38CA"/>
    <w:rsid w:val="3834566E"/>
    <w:rsid w:val="38465A33"/>
    <w:rsid w:val="38640A10"/>
    <w:rsid w:val="38877E93"/>
    <w:rsid w:val="389E51DD"/>
    <w:rsid w:val="38AF1198"/>
    <w:rsid w:val="38C912B6"/>
    <w:rsid w:val="38F60B75"/>
    <w:rsid w:val="392B4CC2"/>
    <w:rsid w:val="398023A4"/>
    <w:rsid w:val="39A82378"/>
    <w:rsid w:val="39AC7904"/>
    <w:rsid w:val="39C2416B"/>
    <w:rsid w:val="39D576BC"/>
    <w:rsid w:val="39DD5DCE"/>
    <w:rsid w:val="3A1A0893"/>
    <w:rsid w:val="3A377697"/>
    <w:rsid w:val="3A743E54"/>
    <w:rsid w:val="3B1D688D"/>
    <w:rsid w:val="3B5C4DD9"/>
    <w:rsid w:val="3B633342"/>
    <w:rsid w:val="3B744E3E"/>
    <w:rsid w:val="3C0010F9"/>
    <w:rsid w:val="3C577B7C"/>
    <w:rsid w:val="3CDD27EC"/>
    <w:rsid w:val="3D595B76"/>
    <w:rsid w:val="3D8A759F"/>
    <w:rsid w:val="3DC91A1B"/>
    <w:rsid w:val="3DE418E4"/>
    <w:rsid w:val="3E7978E0"/>
    <w:rsid w:val="3EA11583"/>
    <w:rsid w:val="3EAC12F3"/>
    <w:rsid w:val="3EEC4EF4"/>
    <w:rsid w:val="3EF92C50"/>
    <w:rsid w:val="3F235BB1"/>
    <w:rsid w:val="3F3C0132"/>
    <w:rsid w:val="3F535C75"/>
    <w:rsid w:val="3F663581"/>
    <w:rsid w:val="3F7171A7"/>
    <w:rsid w:val="3F946742"/>
    <w:rsid w:val="3FFA53EF"/>
    <w:rsid w:val="401D53E3"/>
    <w:rsid w:val="409B0A17"/>
    <w:rsid w:val="40A4381E"/>
    <w:rsid w:val="40B82730"/>
    <w:rsid w:val="41253116"/>
    <w:rsid w:val="41582053"/>
    <w:rsid w:val="41A773B9"/>
    <w:rsid w:val="41B63597"/>
    <w:rsid w:val="41D35D9A"/>
    <w:rsid w:val="41D852BC"/>
    <w:rsid w:val="42272DEE"/>
    <w:rsid w:val="42440BA3"/>
    <w:rsid w:val="4272791D"/>
    <w:rsid w:val="42932BD3"/>
    <w:rsid w:val="42A44BF6"/>
    <w:rsid w:val="42E0588E"/>
    <w:rsid w:val="43171E14"/>
    <w:rsid w:val="43D274B0"/>
    <w:rsid w:val="441B3019"/>
    <w:rsid w:val="448E4357"/>
    <w:rsid w:val="44E46875"/>
    <w:rsid w:val="450E5498"/>
    <w:rsid w:val="45306BD5"/>
    <w:rsid w:val="454A2974"/>
    <w:rsid w:val="45623AEE"/>
    <w:rsid w:val="4571549B"/>
    <w:rsid w:val="45A66AC9"/>
    <w:rsid w:val="46B04A59"/>
    <w:rsid w:val="471272B2"/>
    <w:rsid w:val="471274FD"/>
    <w:rsid w:val="47150D60"/>
    <w:rsid w:val="476B0980"/>
    <w:rsid w:val="478C5087"/>
    <w:rsid w:val="47BF0F5F"/>
    <w:rsid w:val="47ED060E"/>
    <w:rsid w:val="484511D1"/>
    <w:rsid w:val="488E2B78"/>
    <w:rsid w:val="48E1082D"/>
    <w:rsid w:val="48E42798"/>
    <w:rsid w:val="49115557"/>
    <w:rsid w:val="49717ADD"/>
    <w:rsid w:val="49B56E13"/>
    <w:rsid w:val="49D24CE6"/>
    <w:rsid w:val="4A0B1FA6"/>
    <w:rsid w:val="4A361719"/>
    <w:rsid w:val="4A51609B"/>
    <w:rsid w:val="4A8B395D"/>
    <w:rsid w:val="4AB53077"/>
    <w:rsid w:val="4AD36F68"/>
    <w:rsid w:val="4B944949"/>
    <w:rsid w:val="4BC67011"/>
    <w:rsid w:val="4BDE4A72"/>
    <w:rsid w:val="4BF4363A"/>
    <w:rsid w:val="4C194D3B"/>
    <w:rsid w:val="4CB202E2"/>
    <w:rsid w:val="4D304C6C"/>
    <w:rsid w:val="4D330192"/>
    <w:rsid w:val="4D4203D5"/>
    <w:rsid w:val="4D4D4D9D"/>
    <w:rsid w:val="4DC26F67"/>
    <w:rsid w:val="4E3C1EFC"/>
    <w:rsid w:val="4E957366"/>
    <w:rsid w:val="4F027E1C"/>
    <w:rsid w:val="4F2A6A41"/>
    <w:rsid w:val="4F2B7038"/>
    <w:rsid w:val="4F553A67"/>
    <w:rsid w:val="4F644633"/>
    <w:rsid w:val="4F8151E4"/>
    <w:rsid w:val="500373A2"/>
    <w:rsid w:val="50BB0282"/>
    <w:rsid w:val="51550ABF"/>
    <w:rsid w:val="517843C5"/>
    <w:rsid w:val="51D9798F"/>
    <w:rsid w:val="51F6353C"/>
    <w:rsid w:val="52666914"/>
    <w:rsid w:val="52B551A5"/>
    <w:rsid w:val="52FA5A81"/>
    <w:rsid w:val="53051C89"/>
    <w:rsid w:val="530C74BB"/>
    <w:rsid w:val="53144E64"/>
    <w:rsid w:val="531E68F4"/>
    <w:rsid w:val="534F1156"/>
    <w:rsid w:val="53620E89"/>
    <w:rsid w:val="53AD746D"/>
    <w:rsid w:val="53D855EF"/>
    <w:rsid w:val="53DB5197"/>
    <w:rsid w:val="54745FE4"/>
    <w:rsid w:val="54E029AD"/>
    <w:rsid w:val="5537650C"/>
    <w:rsid w:val="55DA564E"/>
    <w:rsid w:val="561769D4"/>
    <w:rsid w:val="57457853"/>
    <w:rsid w:val="574B7E86"/>
    <w:rsid w:val="574F6146"/>
    <w:rsid w:val="579E08FE"/>
    <w:rsid w:val="58405511"/>
    <w:rsid w:val="587475A5"/>
    <w:rsid w:val="58D844B0"/>
    <w:rsid w:val="58E6430A"/>
    <w:rsid w:val="593950FB"/>
    <w:rsid w:val="59545718"/>
    <w:rsid w:val="59B7658D"/>
    <w:rsid w:val="5A2225CF"/>
    <w:rsid w:val="5A6739F0"/>
    <w:rsid w:val="5A7A6F6D"/>
    <w:rsid w:val="5B2A4532"/>
    <w:rsid w:val="5B760F82"/>
    <w:rsid w:val="5C1A0A5B"/>
    <w:rsid w:val="5C207B33"/>
    <w:rsid w:val="5D83037A"/>
    <w:rsid w:val="5DFE5C52"/>
    <w:rsid w:val="5E062D59"/>
    <w:rsid w:val="5ED77C0F"/>
    <w:rsid w:val="5F2E7076"/>
    <w:rsid w:val="5F4A1A8C"/>
    <w:rsid w:val="5F6C3D73"/>
    <w:rsid w:val="5F88611B"/>
    <w:rsid w:val="5F9340CC"/>
    <w:rsid w:val="5FAF1938"/>
    <w:rsid w:val="5FDB26EF"/>
    <w:rsid w:val="60075621"/>
    <w:rsid w:val="602001C2"/>
    <w:rsid w:val="608277AE"/>
    <w:rsid w:val="60884F45"/>
    <w:rsid w:val="60CE32E1"/>
    <w:rsid w:val="615117D0"/>
    <w:rsid w:val="615838CB"/>
    <w:rsid w:val="61BA27D8"/>
    <w:rsid w:val="62261C1B"/>
    <w:rsid w:val="624915BC"/>
    <w:rsid w:val="626147DB"/>
    <w:rsid w:val="633B34A5"/>
    <w:rsid w:val="6383489D"/>
    <w:rsid w:val="639F1C85"/>
    <w:rsid w:val="639F3A33"/>
    <w:rsid w:val="641037B7"/>
    <w:rsid w:val="642A1E27"/>
    <w:rsid w:val="64C00985"/>
    <w:rsid w:val="64EE2237"/>
    <w:rsid w:val="65225D26"/>
    <w:rsid w:val="657B402C"/>
    <w:rsid w:val="659D3FA3"/>
    <w:rsid w:val="65C14135"/>
    <w:rsid w:val="65DB5CBA"/>
    <w:rsid w:val="66135805"/>
    <w:rsid w:val="661F1FF1"/>
    <w:rsid w:val="6635067F"/>
    <w:rsid w:val="669A3EF5"/>
    <w:rsid w:val="673853DA"/>
    <w:rsid w:val="674E6C15"/>
    <w:rsid w:val="67582ED4"/>
    <w:rsid w:val="67636EEB"/>
    <w:rsid w:val="67796DD8"/>
    <w:rsid w:val="67D6379C"/>
    <w:rsid w:val="67DD5CB3"/>
    <w:rsid w:val="67FA56DC"/>
    <w:rsid w:val="68327DE1"/>
    <w:rsid w:val="68705B48"/>
    <w:rsid w:val="689D4E50"/>
    <w:rsid w:val="68EA36CA"/>
    <w:rsid w:val="697609B2"/>
    <w:rsid w:val="69AA1FB8"/>
    <w:rsid w:val="69B827DF"/>
    <w:rsid w:val="69F4671F"/>
    <w:rsid w:val="6AE14931"/>
    <w:rsid w:val="6BCA134C"/>
    <w:rsid w:val="6C4112D4"/>
    <w:rsid w:val="6C6B3CF5"/>
    <w:rsid w:val="6C845EBC"/>
    <w:rsid w:val="6CBF282C"/>
    <w:rsid w:val="6D8617C0"/>
    <w:rsid w:val="6D8C30E3"/>
    <w:rsid w:val="6D910891"/>
    <w:rsid w:val="6DDA6E3E"/>
    <w:rsid w:val="6DF8446C"/>
    <w:rsid w:val="6E0A419F"/>
    <w:rsid w:val="6E285C33"/>
    <w:rsid w:val="6E4F6056"/>
    <w:rsid w:val="6E9930C0"/>
    <w:rsid w:val="6EA463A2"/>
    <w:rsid w:val="6F993A2D"/>
    <w:rsid w:val="6FF02BA3"/>
    <w:rsid w:val="704E4817"/>
    <w:rsid w:val="70893072"/>
    <w:rsid w:val="71407FEE"/>
    <w:rsid w:val="71520337"/>
    <w:rsid w:val="71573B9F"/>
    <w:rsid w:val="724A446B"/>
    <w:rsid w:val="725D51E5"/>
    <w:rsid w:val="7275252F"/>
    <w:rsid w:val="72952576"/>
    <w:rsid w:val="73335BEE"/>
    <w:rsid w:val="734B3BFA"/>
    <w:rsid w:val="73623881"/>
    <w:rsid w:val="73753308"/>
    <w:rsid w:val="738E23F5"/>
    <w:rsid w:val="73E85BB7"/>
    <w:rsid w:val="74145D78"/>
    <w:rsid w:val="743B1556"/>
    <w:rsid w:val="74BD61F2"/>
    <w:rsid w:val="74F31E31"/>
    <w:rsid w:val="753328B9"/>
    <w:rsid w:val="75891E9D"/>
    <w:rsid w:val="7590714F"/>
    <w:rsid w:val="76272BEC"/>
    <w:rsid w:val="76326989"/>
    <w:rsid w:val="766308F1"/>
    <w:rsid w:val="76674885"/>
    <w:rsid w:val="767E7A96"/>
    <w:rsid w:val="77253DF8"/>
    <w:rsid w:val="78014865"/>
    <w:rsid w:val="78342545"/>
    <w:rsid w:val="78654DF4"/>
    <w:rsid w:val="78726082"/>
    <w:rsid w:val="791974E8"/>
    <w:rsid w:val="79442C5B"/>
    <w:rsid w:val="794B3E27"/>
    <w:rsid w:val="798D469B"/>
    <w:rsid w:val="7A144A2D"/>
    <w:rsid w:val="7A414273"/>
    <w:rsid w:val="7AB20098"/>
    <w:rsid w:val="7AE07213"/>
    <w:rsid w:val="7B5C39A6"/>
    <w:rsid w:val="7B6E5D6D"/>
    <w:rsid w:val="7BA60339"/>
    <w:rsid w:val="7BB011B5"/>
    <w:rsid w:val="7BC462D5"/>
    <w:rsid w:val="7BE72D16"/>
    <w:rsid w:val="7C2A2F43"/>
    <w:rsid w:val="7C8252B4"/>
    <w:rsid w:val="7D4E40A8"/>
    <w:rsid w:val="7DCA1DA6"/>
    <w:rsid w:val="7E111BD7"/>
    <w:rsid w:val="7E496067"/>
    <w:rsid w:val="7EAD450C"/>
    <w:rsid w:val="7EC67968"/>
    <w:rsid w:val="7ECF2FC7"/>
    <w:rsid w:val="7ED004E8"/>
    <w:rsid w:val="7EE12CFA"/>
    <w:rsid w:val="7F1B620C"/>
    <w:rsid w:val="7FAC50B6"/>
    <w:rsid w:val="7FC27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9">
    <w:name w:val="List Paragraph"/>
    <w:basedOn w:val="1"/>
    <w:qFormat/>
    <w:uiPriority w:val="0"/>
    <w:pPr>
      <w:ind w:firstLine="420" w:firstLineChars="200"/>
    </w:pPr>
  </w:style>
  <w:style w:type="character" w:customStyle="1" w:styleId="10">
    <w:name w:val="font61"/>
    <w:basedOn w:val="8"/>
    <w:qFormat/>
    <w:uiPriority w:val="0"/>
    <w:rPr>
      <w:rFonts w:ascii="方正仿宋_GBK" w:hAnsi="方正仿宋_GBK" w:eastAsia="方正仿宋_GBK" w:cs="方正仿宋_GBK"/>
      <w:color w:val="000000"/>
      <w:sz w:val="24"/>
      <w:szCs w:val="24"/>
      <w:u w:val="none"/>
    </w:rPr>
  </w:style>
  <w:style w:type="character" w:customStyle="1" w:styleId="11">
    <w:name w:val="font22"/>
    <w:basedOn w:val="8"/>
    <w:qFormat/>
    <w:uiPriority w:val="0"/>
    <w:rPr>
      <w:rFonts w:hint="default" w:ascii="Times New Roman" w:hAnsi="Times New Roman" w:cs="Times New Roman"/>
      <w:color w:val="000000"/>
      <w:sz w:val="24"/>
      <w:szCs w:val="24"/>
      <w:u w:val="none"/>
    </w:rPr>
  </w:style>
  <w:style w:type="character" w:customStyle="1" w:styleId="12">
    <w:name w:val="font201"/>
    <w:basedOn w:val="8"/>
    <w:qFormat/>
    <w:uiPriority w:val="0"/>
    <w:rPr>
      <w:rFonts w:hint="default" w:ascii="方正仿宋_GBK" w:hAnsi="方正仿宋_GBK" w:eastAsia="方正仿宋_GBK" w:cs="方正仿宋_GBK"/>
      <w:b/>
      <w:bCs/>
      <w:color w:val="000000"/>
      <w:sz w:val="24"/>
      <w:szCs w:val="24"/>
      <w:u w:val="none"/>
    </w:rPr>
  </w:style>
  <w:style w:type="character" w:customStyle="1" w:styleId="13">
    <w:name w:val="font211"/>
    <w:basedOn w:val="8"/>
    <w:qFormat/>
    <w:uiPriority w:val="0"/>
    <w:rPr>
      <w:rFonts w:hint="default" w:ascii="Times New Roman" w:hAnsi="Times New Roman" w:cs="Times New Roman"/>
      <w:color w:val="000000"/>
      <w:sz w:val="24"/>
      <w:szCs w:val="24"/>
      <w:u w:val="none"/>
    </w:rPr>
  </w:style>
  <w:style w:type="character" w:customStyle="1" w:styleId="14">
    <w:name w:val="font71"/>
    <w:basedOn w:val="8"/>
    <w:qFormat/>
    <w:uiPriority w:val="0"/>
    <w:rPr>
      <w:rFonts w:hint="eastAsia" w:ascii="宋体" w:hAnsi="宋体" w:eastAsia="宋体" w:cs="宋体"/>
      <w:color w:val="000000"/>
      <w:sz w:val="24"/>
      <w:szCs w:val="24"/>
      <w:u w:val="none"/>
    </w:rPr>
  </w:style>
  <w:style w:type="character" w:customStyle="1" w:styleId="15">
    <w:name w:val="font191"/>
    <w:basedOn w:val="8"/>
    <w:qFormat/>
    <w:uiPriority w:val="0"/>
    <w:rPr>
      <w:rFonts w:hint="default" w:ascii="方正仿宋_GBK" w:hAnsi="方正仿宋_GBK" w:eastAsia="方正仿宋_GBK" w:cs="方正仿宋_GBK"/>
      <w:b/>
      <w:bCs/>
      <w:color w:val="000000"/>
      <w:sz w:val="24"/>
      <w:szCs w:val="24"/>
      <w:u w:val="none"/>
    </w:rPr>
  </w:style>
  <w:style w:type="character" w:customStyle="1" w:styleId="16">
    <w:name w:val="font222"/>
    <w:basedOn w:val="8"/>
    <w:qFormat/>
    <w:uiPriority w:val="0"/>
    <w:rPr>
      <w:rFonts w:hint="default" w:ascii="方正仿宋_GBK" w:hAnsi="方正仿宋_GBK" w:eastAsia="方正仿宋_GBK" w:cs="方正仿宋_GBK"/>
      <w:color w:val="000000"/>
      <w:sz w:val="24"/>
      <w:szCs w:val="24"/>
      <w:u w:val="none"/>
    </w:rPr>
  </w:style>
  <w:style w:type="character" w:customStyle="1" w:styleId="17">
    <w:name w:val="font131"/>
    <w:basedOn w:val="8"/>
    <w:qFormat/>
    <w:uiPriority w:val="0"/>
    <w:rPr>
      <w:rFonts w:hint="default" w:ascii="Times New Roman" w:hAnsi="Times New Roman" w:cs="Times New Roman"/>
      <w:color w:val="000000"/>
      <w:sz w:val="20"/>
      <w:szCs w:val="20"/>
      <w:u w:val="none"/>
    </w:rPr>
  </w:style>
  <w:style w:type="character" w:customStyle="1" w:styleId="18">
    <w:name w:val="font41"/>
    <w:basedOn w:val="8"/>
    <w:qFormat/>
    <w:uiPriority w:val="0"/>
    <w:rPr>
      <w:rFonts w:hint="eastAsia" w:ascii="宋体" w:hAnsi="宋体" w:eastAsia="宋体" w:cs="宋体"/>
      <w:color w:val="000000"/>
      <w:sz w:val="20"/>
      <w:szCs w:val="20"/>
      <w:u w:val="none"/>
    </w:rPr>
  </w:style>
  <w:style w:type="character" w:customStyle="1" w:styleId="19">
    <w:name w:val="font231"/>
    <w:basedOn w:val="8"/>
    <w:qFormat/>
    <w:uiPriority w:val="0"/>
    <w:rPr>
      <w:rFonts w:hint="default" w:ascii="Times New Roman" w:hAnsi="Times New Roman" w:cs="Times New Roman"/>
      <w:color w:val="000000"/>
      <w:sz w:val="16"/>
      <w:szCs w:val="16"/>
      <w:u w:val="none"/>
    </w:rPr>
  </w:style>
  <w:style w:type="character" w:customStyle="1" w:styleId="20">
    <w:name w:val="font141"/>
    <w:basedOn w:val="8"/>
    <w:qFormat/>
    <w:uiPriority w:val="0"/>
    <w:rPr>
      <w:rFonts w:hint="eastAsia" w:ascii="宋体" w:hAnsi="宋体" w:eastAsia="宋体" w:cs="宋体"/>
      <w:color w:val="000000"/>
      <w:sz w:val="16"/>
      <w:szCs w:val="16"/>
      <w:u w:val="none"/>
    </w:rPr>
  </w:style>
  <w:style w:type="character" w:customStyle="1" w:styleId="21">
    <w:name w:val="font241"/>
    <w:basedOn w:val="8"/>
    <w:qFormat/>
    <w:uiPriority w:val="0"/>
    <w:rPr>
      <w:rFonts w:hint="default" w:ascii="方正仿宋_GBK" w:hAnsi="方正仿宋_GBK" w:eastAsia="方正仿宋_GBK" w:cs="方正仿宋_GBK"/>
      <w:color w:val="000000"/>
      <w:sz w:val="22"/>
      <w:szCs w:val="22"/>
      <w:u w:val="none"/>
    </w:rPr>
  </w:style>
  <w:style w:type="character" w:customStyle="1" w:styleId="22">
    <w:name w:val="font171"/>
    <w:basedOn w:val="8"/>
    <w:qFormat/>
    <w:uiPriority w:val="0"/>
    <w:rPr>
      <w:rFonts w:hint="default" w:ascii="Times New Roman" w:hAnsi="Times New Roman" w:cs="Times New Roman"/>
      <w:color w:val="000000"/>
      <w:sz w:val="22"/>
      <w:szCs w:val="22"/>
      <w:u w:val="none"/>
    </w:rPr>
  </w:style>
  <w:style w:type="character" w:customStyle="1" w:styleId="23">
    <w:name w:val="font251"/>
    <w:basedOn w:val="8"/>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4.svg"/><Relationship Id="rId3" Type="http://schemas.openxmlformats.org/officeDocument/2006/relationships/header" Target="header1.xml"/><Relationship Id="rId29" Type="http://schemas.openxmlformats.org/officeDocument/2006/relationships/image" Target="media/image13.png"/><Relationship Id="rId28" Type="http://schemas.openxmlformats.org/officeDocument/2006/relationships/chart" Target="charts/chart5.xml"/><Relationship Id="rId27" Type="http://schemas.openxmlformats.org/officeDocument/2006/relationships/chart" Target="charts/chart4.xml"/><Relationship Id="rId26" Type="http://schemas.openxmlformats.org/officeDocument/2006/relationships/chart" Target="charts/chart3.xml"/><Relationship Id="rId25" Type="http://schemas.openxmlformats.org/officeDocument/2006/relationships/chart" Target="charts/chart2.xml"/><Relationship Id="rId24" Type="http://schemas.openxmlformats.org/officeDocument/2006/relationships/chart" Target="charts/chart1.xml"/><Relationship Id="rId23" Type="http://schemas.openxmlformats.org/officeDocument/2006/relationships/image" Target="media/image12.svg"/><Relationship Id="rId22" Type="http://schemas.openxmlformats.org/officeDocument/2006/relationships/image" Target="media/image11.png"/><Relationship Id="rId21" Type="http://schemas.openxmlformats.org/officeDocument/2006/relationships/image" Target="media/image10.sv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hyperlink" Target="&#34241;&#22478;&#21306;&#31532;&#19977;&#20013;&#23398;(1).XLS" TargetMode="External"/><Relationship Id="rId18" Type="http://schemas.openxmlformats.org/officeDocument/2006/relationships/image" Target="media/image8.svg"/><Relationship Id="rId17" Type="http://schemas.openxmlformats.org/officeDocument/2006/relationships/image" Target="media/image7.png"/><Relationship Id="rId16" Type="http://schemas.openxmlformats.org/officeDocument/2006/relationships/image" Target="media/image6.svg"/><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sv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I:\&#23545;&#27604;22-10-25&#26368;&#26032;&#29256;.xls" TargetMode="External"/></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C:\Users\Administrator\Desktop\&#26032;&#24314;%20XLS%20&#24037;&#20316;&#34920;%20(2).xls" TargetMode="External"/></Relationships>
</file>

<file path=word/charts/_rels/chart3.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2.xml"/><Relationship Id="rId1" Type="http://schemas.openxmlformats.org/officeDocument/2006/relationships/oleObject" Target="file:///C:\Users\Administrator\Desktop\&#26032;&#24314;%20XLS%20&#24037;&#20316;&#34920;%20(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I:\&#23545;&#27604;22-10-25&#26368;&#26032;&#29256;.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I:\&#23545;&#27604;22-10-25&#26368;&#26032;&#29256;.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spPr>
            <a:solidFill>
              <a:schemeClr val="accent1"/>
            </a:solidFill>
            <a:ln>
              <a:noFill/>
            </a:ln>
            <a:effectLst/>
          </c:spPr>
          <c:invertIfNegative val="0"/>
          <c:dLbls>
            <c:delete val="1"/>
          </c:dLbls>
          <c:cat>
            <c:strRef>
              <c:f>'[对比22-10-25最新版.xls]Sheet3'!$B$2:$B$3</c:f>
              <c:strCache>
                <c:ptCount val="2"/>
                <c:pt idx="0">
                  <c:v>2020年收支</c:v>
                </c:pt>
                <c:pt idx="1">
                  <c:v>2021年收支</c:v>
                </c:pt>
              </c:strCache>
            </c:strRef>
          </c:cat>
          <c:val>
            <c:numRef>
              <c:f>'[对比22-10-25最新版.xls]Sheet3'!$C$2:$C$3</c:f>
              <c:numCache>
                <c:formatCode>General</c:formatCode>
                <c:ptCount val="2"/>
                <c:pt idx="0">
                  <c:v>1729.34</c:v>
                </c:pt>
                <c:pt idx="1">
                  <c:v>1667.94</c:v>
                </c:pt>
              </c:numCache>
            </c:numRef>
          </c:val>
        </c:ser>
        <c:dLbls>
          <c:showLegendKey val="0"/>
          <c:showVal val="0"/>
          <c:showCatName val="0"/>
          <c:showSerName val="0"/>
          <c:showPercent val="0"/>
          <c:showBubbleSize val="0"/>
        </c:dLbls>
        <c:gapWidth val="150"/>
        <c:overlap val="100"/>
        <c:axId val="403296473"/>
        <c:axId val="130631475"/>
      </c:barChart>
      <c:catAx>
        <c:axId val="403296473"/>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0631475"/>
        <c:crosses val="autoZero"/>
        <c:auto val="1"/>
        <c:lblAlgn val="ctr"/>
        <c:lblOffset val="100"/>
        <c:noMultiLvlLbl val="0"/>
      </c:catAx>
      <c:valAx>
        <c:axId val="130631475"/>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329647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
        <c:rich>
          <a:bodyPr/>
          <a:lstStyle/>
          <a:p>
            <a:pPr>
              <a:defRPr/>
            </a:pPr>
          </a:p>
        </c:rich>
      </c:tx>
    </c:title>
    <c:autoTitleDeleted val="0"/>
    <c:plotArea>
      <c:layout>
        <c:manualLayout>
          <c:layoutTarget val="inner"/>
          <c:xMode val="edge"/>
          <c:yMode val="edge"/>
          <c:x val="0.298067413404152"/>
          <c:y val="0.199134199134199"/>
          <c:w val="0.411575273422998"/>
          <c:h val="0.693263804713804"/>
        </c:manualLayout>
      </c:layout>
      <c:pieChart>
        <c:varyColors val="1"/>
        <c:ser>
          <c:idx val="0"/>
          <c:order val="0"/>
          <c:spPr>
            <a:solidFill>
              <a:srgbClr val="63B1EF">
                <a:alpha val="67000"/>
              </a:srgbClr>
            </a:solidFill>
            <a:ln w="19050" cap="rnd">
              <a:noFill/>
              <a:round/>
            </a:ln>
            <a:effectLst/>
          </c:spPr>
          <c:explosion val="0"/>
          <c:dPt>
            <c:idx val="0"/>
            <c:bubble3D val="0"/>
            <c:spPr>
              <a:solidFill>
                <a:srgbClr val="63B1EF">
                  <a:alpha val="67000"/>
                </a:srgbClr>
              </a:solidFill>
              <a:ln w="19050" cap="rnd">
                <a:noFill/>
                <a:round/>
              </a:ln>
              <a:effectLst/>
            </c:spPr>
          </c:dPt>
          <c:dPt>
            <c:idx val="1"/>
            <c:bubble3D val="0"/>
            <c:spPr>
              <a:solidFill>
                <a:srgbClr val="75D890">
                  <a:alpha val="67000"/>
                </a:srgbClr>
              </a:solidFill>
              <a:ln w="19050" cap="rnd">
                <a:noFill/>
                <a:round/>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'[新建 XLS 工作表 (2).xls]Sheet1'!$B$2:$B$3</c:f>
              <c:strCache>
                <c:ptCount val="2"/>
                <c:pt idx="0">
                  <c:v>财政拨款收入</c:v>
                </c:pt>
                <c:pt idx="1">
                  <c:v>事业收入</c:v>
                </c:pt>
              </c:strCache>
            </c:strRef>
          </c:cat>
          <c:val>
            <c:numRef>
              <c:f>'[新建 XLS 工作表 (2).xls]Sheet1'!$C$2:$C$3</c:f>
              <c:numCache>
                <c:formatCode>General</c:formatCode>
                <c:ptCount val="2"/>
                <c:pt idx="0">
                  <c:v>1638.94</c:v>
                </c:pt>
                <c:pt idx="1">
                  <c:v>90.4</c:v>
                </c:pt>
              </c:numCache>
            </c:numRef>
          </c:val>
        </c:ser>
        <c:dLbls>
          <c:showLegendKey val="0"/>
          <c:showVal val="0"/>
          <c:showCatName val="1"/>
          <c:showSerName val="0"/>
          <c:showPercent val="1"/>
          <c:showBubbleSize val="0"/>
          <c:showLeaderLines val="1"/>
        </c:dLbls>
        <c:firstSliceAng val="0"/>
      </c:pieChart>
      <c:spPr>
        <a:pattFill prst="lgGrid">
          <a:fgClr>
            <a:srgbClr val="F8F8F8"/>
          </a:fgClr>
          <a:bgClr>
            <a:schemeClr val="bg1"/>
          </a:bgClr>
        </a:pattFill>
        <a:ln>
          <a:solidFill>
            <a:schemeClr val="bg1">
              <a:lumMod val="95000"/>
            </a:schemeClr>
          </a:solid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a:outerShdw blurRad="63500" dist="37357" dir="2700000" sx="0" sy="0" rotWithShape="0">
        <a:scrgbClr r="0" g="0" b="0"/>
      </a:outerShdw>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98067413404152"/>
          <c:y val="0.199134199134199"/>
          <c:w val="0.411575273422998"/>
          <c:h val="0.693263804713804"/>
        </c:manualLayout>
      </c:layout>
      <c:pieChart>
        <c:varyColors val="1"/>
        <c:ser>
          <c:idx val="0"/>
          <c:order val="0"/>
          <c:spPr>
            <a:solidFill>
              <a:srgbClr val="63B1EF">
                <a:alpha val="67000"/>
              </a:srgbClr>
            </a:solidFill>
            <a:ln w="19050" cap="rnd">
              <a:noFill/>
              <a:round/>
            </a:ln>
            <a:effectLst/>
          </c:spPr>
          <c:explosion val="0"/>
          <c:dPt>
            <c:idx val="0"/>
            <c:bubble3D val="0"/>
            <c:spPr>
              <a:solidFill>
                <a:srgbClr val="63B1EF">
                  <a:alpha val="67000"/>
                </a:srgbClr>
              </a:solidFill>
              <a:ln w="19050" cap="rnd">
                <a:noFill/>
                <a:round/>
              </a:ln>
              <a:effectLst/>
            </c:spPr>
          </c:dPt>
          <c:dPt>
            <c:idx val="1"/>
            <c:bubble3D val="0"/>
            <c:spPr>
              <a:solidFill>
                <a:srgbClr val="75D890">
                  <a:alpha val="67000"/>
                </a:srgbClr>
              </a:solidFill>
              <a:ln w="19050" cap="rnd">
                <a:noFill/>
                <a:round/>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 工作表 (2).xls]Sheet1'!$B$2:$B$3</c:f>
              <c:strCache>
                <c:ptCount val="2"/>
                <c:pt idx="0">
                  <c:v>基本支出基本支出</c:v>
                </c:pt>
                <c:pt idx="1">
                  <c:v>项目支出</c:v>
                </c:pt>
              </c:strCache>
            </c:strRef>
          </c:cat>
          <c:val>
            <c:numRef>
              <c:f>'[新建 XLS 工作表 (2).xls]Sheet1'!$C$2:$C$3</c:f>
              <c:numCache>
                <c:formatCode>General</c:formatCode>
                <c:ptCount val="2"/>
                <c:pt idx="0">
                  <c:v>1513.26</c:v>
                </c:pt>
                <c:pt idx="1">
                  <c:v>216.07</c:v>
                </c:pt>
              </c:numCache>
            </c:numRef>
          </c:val>
        </c:ser>
        <c:dLbls>
          <c:showLegendKey val="0"/>
          <c:showVal val="0"/>
          <c:showCatName val="1"/>
          <c:showSerName val="0"/>
          <c:showPercent val="1"/>
          <c:showBubbleSize val="0"/>
          <c:showLeaderLines val="1"/>
        </c:dLbls>
        <c:firstSliceAng val="0"/>
      </c:pieChart>
      <c:spPr>
        <a:pattFill prst="lgGrid">
          <a:fgClr>
            <a:srgbClr val="F8F8F8"/>
          </a:fgClr>
          <a:bgClr>
            <a:schemeClr val="bg1"/>
          </a:bgClr>
        </a:pattFill>
        <a:ln>
          <a:solidFill>
            <a:schemeClr val="bg1">
              <a:lumMod val="95000"/>
            </a:schemeClr>
          </a:solid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a:outerShdw blurRad="63500" dist="37357" dir="2700000" sx="0" sy="0" rotWithShape="0">
        <a:scrgbClr r="0" g="0" b="0"/>
      </a:outerShdw>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2"/>
            <c:invertIfNegative val="0"/>
            <c:bubble3D val="0"/>
            <c:explosion val="0"/>
            <c:spPr>
              <a:solidFill>
                <a:srgbClr val="7030A0"/>
              </a:solidFill>
              <a:ln>
                <a:noFill/>
              </a:ln>
              <a:effectLst/>
            </c:spPr>
          </c:dPt>
          <c:dPt>
            <c:idx val="3"/>
            <c:invertIfNegative val="0"/>
            <c:bubble3D val="0"/>
            <c:explosion val="0"/>
            <c:spPr>
              <a:solidFill>
                <a:srgbClr val="7030A0"/>
              </a:solidFill>
              <a:ln>
                <a:no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'[对比22-10-25最新版.xls]Sheet1'!$B$2:$B$5</c:f>
              <c:strCache>
                <c:ptCount val="4"/>
                <c:pt idx="0">
                  <c:v>2020年财政拨款收入</c:v>
                </c:pt>
                <c:pt idx="1">
                  <c:v>2020年财政拨款支出</c:v>
                </c:pt>
                <c:pt idx="2">
                  <c:v>2021年财政拨款收入</c:v>
                </c:pt>
                <c:pt idx="3">
                  <c:v>2021年财政拨款支出</c:v>
                </c:pt>
              </c:strCache>
            </c:strRef>
          </c:cat>
          <c:val>
            <c:numRef>
              <c:f>'[对比22-10-25最新版.xls]Sheet1'!$C$2:$C$5</c:f>
              <c:numCache>
                <c:formatCode>General</c:formatCode>
                <c:ptCount val="4"/>
                <c:pt idx="0">
                  <c:v>1790.75</c:v>
                </c:pt>
                <c:pt idx="1">
                  <c:v>1790.75</c:v>
                </c:pt>
                <c:pt idx="2">
                  <c:v>1638.94</c:v>
                </c:pt>
                <c:pt idx="3">
                  <c:v>1638.94</c:v>
                </c:pt>
              </c:numCache>
            </c:numRef>
          </c:val>
        </c:ser>
        <c:dLbls>
          <c:showLegendKey val="0"/>
          <c:showVal val="0"/>
          <c:showCatName val="0"/>
          <c:showSerName val="0"/>
          <c:showPercent val="0"/>
          <c:showBubbleSize val="0"/>
        </c:dLbls>
        <c:gapWidth val="219"/>
        <c:overlap val="-27"/>
        <c:axId val="257746280"/>
        <c:axId val="751640773"/>
      </c:barChart>
      <c:catAx>
        <c:axId val="257746280"/>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51640773"/>
        <c:crosses val="autoZero"/>
        <c:auto val="1"/>
        <c:lblAlgn val="ctr"/>
        <c:lblOffset val="100"/>
        <c:noMultiLvlLbl val="0"/>
      </c:catAx>
      <c:valAx>
        <c:axId val="751640773"/>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7746280"/>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C00000"/>
            </a:solidFill>
            <a:ln>
              <a:noFill/>
            </a:ln>
            <a:effectLst/>
          </c:spPr>
          <c:invertIfNegative val="0"/>
          <c:dPt>
            <c:idx val="0"/>
            <c:invertIfNegative val="0"/>
            <c:bubble3D val="0"/>
            <c:explosion val="0"/>
            <c:spPr>
              <a:gradFill>
                <a:gsLst>
                  <a:gs pos="0">
                    <a:srgbClr val="007BD3"/>
                  </a:gs>
                  <a:gs pos="100000">
                    <a:srgbClr val="034373"/>
                  </a:gs>
                </a:gsLst>
                <a:lin scaled="0"/>
              </a:gradFill>
              <a:ln>
                <a:noFill/>
              </a:ln>
              <a:effectLst/>
            </c:spPr>
          </c:dPt>
          <c:dPt>
            <c:idx val="1"/>
            <c:invertIfNegative val="0"/>
            <c:bubble3D val="0"/>
            <c:explosion val="0"/>
            <c:spPr>
              <a:solidFill>
                <a:srgbClr val="0070C0"/>
              </a:solidFill>
              <a:ln>
                <a:no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'[对比22-10-25最新版.xls]Sheet2'!$B$2:$B$5</c:f>
              <c:strCache>
                <c:ptCount val="4"/>
                <c:pt idx="0">
                  <c:v>2021年财政拨款收入</c:v>
                </c:pt>
                <c:pt idx="1">
                  <c:v>2021年财政拨款支出</c:v>
                </c:pt>
                <c:pt idx="2">
                  <c:v>2021年年初预算数收入</c:v>
                </c:pt>
                <c:pt idx="3">
                  <c:v>2021年年初预算数支出</c:v>
                </c:pt>
              </c:strCache>
            </c:strRef>
          </c:cat>
          <c:val>
            <c:numRef>
              <c:f>'[对比22-10-25最新版.xls]Sheet2'!$C$2:$C$5</c:f>
              <c:numCache>
                <c:formatCode>General</c:formatCode>
                <c:ptCount val="4"/>
                <c:pt idx="0">
                  <c:v>1638.94</c:v>
                </c:pt>
                <c:pt idx="1">
                  <c:v>1638.94</c:v>
                </c:pt>
                <c:pt idx="2">
                  <c:v>1496.1</c:v>
                </c:pt>
                <c:pt idx="3">
                  <c:v>1496.1</c:v>
                </c:pt>
              </c:numCache>
            </c:numRef>
          </c:val>
        </c:ser>
        <c:dLbls>
          <c:showLegendKey val="0"/>
          <c:showVal val="0"/>
          <c:showCatName val="0"/>
          <c:showSerName val="0"/>
          <c:showPercent val="0"/>
          <c:showBubbleSize val="0"/>
        </c:dLbls>
        <c:gapWidth val="150"/>
        <c:overlap val="0"/>
        <c:axId val="360411513"/>
        <c:axId val="72775279"/>
      </c:barChart>
      <c:catAx>
        <c:axId val="360411513"/>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2775279"/>
        <c:crosses val="autoZero"/>
        <c:auto val="1"/>
        <c:lblAlgn val="ctr"/>
        <c:lblOffset val="100"/>
        <c:noMultiLvlLbl val="0"/>
      </c:catAx>
      <c:valAx>
        <c:axId val="72775279"/>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0411513"/>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23</Pages>
  <Words>6026</Words>
  <Characters>6581</Characters>
  <Lines>82</Lines>
  <Paragraphs>23</Paragraphs>
  <TotalTime>1</TotalTime>
  <ScaleCrop>false</ScaleCrop>
  <LinksUpToDate>false</LinksUpToDate>
  <CharactersWithSpaces>6642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薄荷</cp:lastModifiedBy>
  <cp:lastPrinted>2022-10-25T04:57:00Z</cp:lastPrinted>
  <dcterms:modified xsi:type="dcterms:W3CDTF">2023-07-25T12:38:27Z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1515CEFC20754C3380B382230295B456</vt:lpwstr>
  </property>
</Properties>
</file>