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360015</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石家庄市藁城区第五中学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360015</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石家庄市藁城区第五中学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eastAsia="zh-CN"/>
        </w:rPr>
        <w:t>单位</w:t>
      </w:r>
      <w:r>
        <w:rPr>
          <w:rFonts w:hint="eastAsia" w:ascii="黑体" w:eastAsia="黑体" w:cs="黑体"/>
          <w:b w:val="0"/>
          <w:bCs w:val="0"/>
          <w:kern w:val="0"/>
          <w:sz w:val="32"/>
          <w:szCs w:val="32"/>
        </w:rPr>
        <w:t>职责</w:t>
      </w:r>
    </w:p>
    <w:p>
      <w:pPr>
        <w:widowControl/>
        <w:spacing w:line="580" w:lineRule="exact"/>
        <w:ind w:firstLine="640" w:firstLineChars="200"/>
        <w:rPr>
          <w:rFonts w:ascii="仿宋_GB2312" w:hAnsi="Calibri" w:eastAsia="仿宋_GB2312" w:cs="ArialUnicodeMS"/>
          <w:kern w:val="0"/>
          <w:sz w:val="32"/>
          <w:szCs w:val="32"/>
          <w:highlight w:val="none"/>
        </w:rPr>
      </w:pPr>
      <w:r>
        <w:rPr>
          <w:rFonts w:hint="eastAsia" w:ascii="仿宋_GB2312" w:eastAsia="仿宋_GB2312" w:cs="ArialUnicodeMS"/>
          <w:kern w:val="0"/>
          <w:sz w:val="32"/>
          <w:szCs w:val="32"/>
          <w:highlight w:val="none"/>
        </w:rPr>
        <w:t>实施高级中学教育，促进教育发展，高中学历教育及相关社会服务。</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6"/>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石家庄市藁城区第五中学</w:t>
            </w:r>
          </w:p>
        </w:tc>
        <w:tc>
          <w:tcPr>
            <w:tcW w:w="2445" w:type="dxa"/>
          </w:tcPr>
          <w:p>
            <w:pPr>
              <w:spacing w:line="560" w:lineRule="exact"/>
              <w:jc w:val="center"/>
              <w:rPr>
                <w:rFonts w:hint="eastAsia"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rPr>
              <w:t>财政补助事业单位</w:t>
            </w:r>
          </w:p>
        </w:tc>
        <w:tc>
          <w:tcPr>
            <w:tcW w:w="2665" w:type="dxa"/>
          </w:tcPr>
          <w:p>
            <w:pPr>
              <w:spacing w:line="560" w:lineRule="exact"/>
              <w:jc w:val="center"/>
              <w:rPr>
                <w:rFonts w:hint="eastAsia"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420" w:firstLineChars="200"/>
        <w:rPr>
          <w:rFonts w:ascii="仿宋_GB2312" w:hAnsi="Times New Roman" w:eastAsia="仿宋_GB2312" w:cs="DengXian-Regular"/>
          <w:sz w:val="32"/>
          <w:szCs w:val="32"/>
          <w:highlight w:val="yellow"/>
        </w:rPr>
      </w:pPr>
      <w:r>
        <w:drawing>
          <wp:anchor distT="0" distB="0" distL="114300" distR="114300" simplePos="0" relativeHeight="251673600" behindDoc="0" locked="0" layoutInCell="1" allowOverlap="1">
            <wp:simplePos x="0" y="0"/>
            <wp:positionH relativeFrom="column">
              <wp:posOffset>3903345</wp:posOffset>
            </wp:positionH>
            <wp:positionV relativeFrom="paragraph">
              <wp:posOffset>796925</wp:posOffset>
            </wp:positionV>
            <wp:extent cx="1700530" cy="1699260"/>
            <wp:effectExtent l="4445" t="4445" r="17145" b="18415"/>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2021年度收、支总计（含结转和结余）817.27万元。与2020年度决算相比，收支各减少</w:t>
      </w:r>
      <w:r>
        <w:rPr>
          <w:rFonts w:hint="eastAsia" w:ascii="仿宋_GB2312" w:hAnsi="Times New Roman" w:eastAsia="仿宋_GB2312" w:cs="DengXian-Regular"/>
          <w:sz w:val="32"/>
          <w:szCs w:val="32"/>
          <w:lang w:val="en-US" w:eastAsia="zh-CN"/>
        </w:rPr>
        <w:t>123.13</w:t>
      </w:r>
      <w:r>
        <w:rPr>
          <w:rFonts w:hint="eastAsia" w:ascii="仿宋_GB2312" w:hAnsi="Times New Roman" w:eastAsia="仿宋_GB2312" w:cs="DengXian-Regular"/>
          <w:sz w:val="32"/>
          <w:szCs w:val="32"/>
        </w:rPr>
        <w:t>万元，下降</w:t>
      </w:r>
      <w:r>
        <w:rPr>
          <w:rFonts w:hint="eastAsia" w:ascii="仿宋_GB2312" w:hAnsi="Times New Roman" w:eastAsia="仿宋_GB2312" w:cs="DengXian-Regular"/>
          <w:sz w:val="32"/>
          <w:szCs w:val="32"/>
          <w:lang w:val="en-US" w:eastAsia="zh-CN"/>
        </w:rPr>
        <w:t>13.1</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人员退休，虽然</w:t>
      </w:r>
      <w:r>
        <w:rPr>
          <w:rFonts w:hint="eastAsia" w:ascii="仿宋_GB2312" w:hAnsi="Times New Roman" w:eastAsia="仿宋_GB2312" w:cs="DengXian-Regular"/>
          <w:sz w:val="32"/>
          <w:szCs w:val="32"/>
        </w:rPr>
        <w:t>人员工资增长，</w:t>
      </w:r>
      <w:r>
        <w:rPr>
          <w:rFonts w:hint="eastAsia" w:ascii="仿宋_GB2312" w:hAnsi="Times New Roman" w:eastAsia="仿宋_GB2312" w:cs="DengXian-Regular"/>
          <w:sz w:val="32"/>
          <w:szCs w:val="32"/>
          <w:lang w:val="en-US" w:eastAsia="zh-CN"/>
        </w:rPr>
        <w:t>但</w:t>
      </w:r>
      <w:r>
        <w:rPr>
          <w:rFonts w:hint="eastAsia" w:ascii="仿宋_GB2312" w:hAnsi="Times New Roman" w:eastAsia="仿宋_GB2312" w:cs="DengXian-Regular"/>
          <w:sz w:val="32"/>
          <w:szCs w:val="32"/>
        </w:rPr>
        <w:t>人员经费及基本支出</w:t>
      </w:r>
      <w:r>
        <w:rPr>
          <w:rFonts w:hint="eastAsia" w:ascii="仿宋_GB2312" w:hAnsi="Times New Roman" w:eastAsia="仿宋_GB2312" w:cs="DengXian-Regular"/>
          <w:sz w:val="32"/>
          <w:szCs w:val="32"/>
          <w:lang w:val="en-US" w:eastAsia="zh-CN"/>
        </w:rPr>
        <w:t>总额</w:t>
      </w:r>
      <w:r>
        <w:rPr>
          <w:rFonts w:hint="eastAsia" w:ascii="仿宋_GB2312" w:hAnsi="Times New Roman" w:eastAsia="仿宋_GB2312" w:cs="DengXian-Regular"/>
          <w:sz w:val="32"/>
          <w:szCs w:val="32"/>
        </w:rPr>
        <w:t>造成差异；我校响应上级节能减排，压缩日常公用经费，日常公用经费大幅度下降。</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123.13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13.1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人员退休，虽然</w:t>
      </w:r>
      <w:r>
        <w:rPr>
          <w:rFonts w:hint="eastAsia" w:ascii="仿宋_GB2312" w:hAnsi="Times New Roman" w:eastAsia="仿宋_GB2312" w:cs="DengXian-Regular"/>
          <w:sz w:val="32"/>
          <w:szCs w:val="32"/>
        </w:rPr>
        <w:t>人员工资增长，</w:t>
      </w:r>
      <w:r>
        <w:rPr>
          <w:rFonts w:hint="eastAsia" w:ascii="仿宋_GB2312" w:hAnsi="Times New Roman" w:eastAsia="仿宋_GB2312" w:cs="DengXian-Regular"/>
          <w:sz w:val="32"/>
          <w:szCs w:val="32"/>
          <w:lang w:val="en-US" w:eastAsia="zh-CN"/>
        </w:rPr>
        <w:t>但</w:t>
      </w:r>
      <w:r>
        <w:rPr>
          <w:rFonts w:hint="eastAsia" w:ascii="仿宋_GB2312" w:hAnsi="Times New Roman" w:eastAsia="仿宋_GB2312" w:cs="DengXian-Regular"/>
          <w:sz w:val="32"/>
          <w:szCs w:val="32"/>
        </w:rPr>
        <w:t>人员经费及基本支出</w:t>
      </w:r>
      <w:r>
        <w:rPr>
          <w:rFonts w:hint="eastAsia" w:ascii="仿宋_GB2312" w:hAnsi="Times New Roman" w:eastAsia="仿宋_GB2312" w:cs="DengXian-Regular"/>
          <w:sz w:val="32"/>
          <w:szCs w:val="32"/>
          <w:lang w:val="en-US" w:eastAsia="zh-CN"/>
        </w:rPr>
        <w:t>总额</w:t>
      </w:r>
      <w:r>
        <w:rPr>
          <w:rFonts w:hint="eastAsia" w:ascii="仿宋_GB2312" w:hAnsi="Times New Roman" w:eastAsia="仿宋_GB2312" w:cs="DengXian-Regular"/>
          <w:sz w:val="32"/>
          <w:szCs w:val="32"/>
        </w:rPr>
        <w:t>造成差异；我校响应上级节能减排，压缩日常公用经费，日常公用经费大幅度下降；本年支出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123.13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13.1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人员退休，虽然</w:t>
      </w:r>
      <w:r>
        <w:rPr>
          <w:rFonts w:hint="eastAsia" w:ascii="仿宋_GB2312" w:hAnsi="Times New Roman" w:eastAsia="仿宋_GB2312" w:cs="DengXian-Regular"/>
          <w:sz w:val="32"/>
          <w:szCs w:val="32"/>
        </w:rPr>
        <w:t>人员工资增长，</w:t>
      </w:r>
      <w:r>
        <w:rPr>
          <w:rFonts w:hint="eastAsia" w:ascii="仿宋_GB2312" w:hAnsi="Times New Roman" w:eastAsia="仿宋_GB2312" w:cs="DengXian-Regular"/>
          <w:sz w:val="32"/>
          <w:szCs w:val="32"/>
          <w:lang w:val="en-US" w:eastAsia="zh-CN"/>
        </w:rPr>
        <w:t>但</w:t>
      </w:r>
      <w:r>
        <w:rPr>
          <w:rFonts w:hint="eastAsia" w:ascii="仿宋_GB2312" w:hAnsi="Times New Roman" w:eastAsia="仿宋_GB2312" w:cs="DengXian-Regular"/>
          <w:sz w:val="32"/>
          <w:szCs w:val="32"/>
        </w:rPr>
        <w:t>人员经费及基本支出</w:t>
      </w:r>
      <w:r>
        <w:rPr>
          <w:rFonts w:hint="eastAsia" w:ascii="仿宋_GB2312" w:hAnsi="Times New Roman" w:eastAsia="仿宋_GB2312" w:cs="DengXian-Regular"/>
          <w:sz w:val="32"/>
          <w:szCs w:val="32"/>
          <w:lang w:val="en-US" w:eastAsia="zh-CN"/>
        </w:rPr>
        <w:t>总额</w:t>
      </w:r>
      <w:r>
        <w:rPr>
          <w:rFonts w:hint="eastAsia" w:ascii="仿宋_GB2312" w:hAnsi="Times New Roman" w:eastAsia="仿宋_GB2312" w:cs="DengXian-Regular"/>
          <w:sz w:val="32"/>
          <w:szCs w:val="32"/>
        </w:rPr>
        <w:t>造成差异；我校响应上级节能减排，压缩日常公用经费，日常公用经费大幅度下降。具体情况如下：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万元，比上年增减少</w:t>
      </w:r>
      <w:r>
        <w:rPr>
          <w:rFonts w:hint="eastAsia" w:ascii="仿宋_GB2312" w:hAnsi="Times New Roman" w:eastAsia="仿宋_GB2312" w:cs="DengXian-Regular"/>
          <w:sz w:val="32"/>
          <w:szCs w:val="32"/>
          <w:lang w:val="en-US" w:eastAsia="zh-CN"/>
        </w:rPr>
        <w:t>123.13</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人员退休，虽然</w:t>
      </w:r>
      <w:r>
        <w:rPr>
          <w:rFonts w:hint="eastAsia" w:ascii="仿宋_GB2312" w:hAnsi="Times New Roman" w:eastAsia="仿宋_GB2312" w:cs="DengXian-Regular"/>
          <w:sz w:val="32"/>
          <w:szCs w:val="32"/>
        </w:rPr>
        <w:t>人员工资增长，</w:t>
      </w:r>
      <w:r>
        <w:rPr>
          <w:rFonts w:hint="eastAsia" w:ascii="仿宋_GB2312" w:hAnsi="Times New Roman" w:eastAsia="仿宋_GB2312" w:cs="DengXian-Regular"/>
          <w:sz w:val="32"/>
          <w:szCs w:val="32"/>
          <w:lang w:val="en-US" w:eastAsia="zh-CN"/>
        </w:rPr>
        <w:t>但</w:t>
      </w:r>
      <w:r>
        <w:rPr>
          <w:rFonts w:hint="eastAsia" w:ascii="仿宋_GB2312" w:hAnsi="Times New Roman" w:eastAsia="仿宋_GB2312" w:cs="DengXian-Regular"/>
          <w:sz w:val="32"/>
          <w:szCs w:val="32"/>
        </w:rPr>
        <w:t>人员经费及基本支出</w:t>
      </w:r>
      <w:r>
        <w:rPr>
          <w:rFonts w:hint="eastAsia" w:ascii="仿宋_GB2312" w:hAnsi="Times New Roman" w:eastAsia="仿宋_GB2312" w:cs="DengXian-Regular"/>
          <w:sz w:val="32"/>
          <w:szCs w:val="32"/>
          <w:lang w:val="en-US" w:eastAsia="zh-CN"/>
        </w:rPr>
        <w:t>总额</w:t>
      </w:r>
      <w:r>
        <w:rPr>
          <w:rFonts w:hint="eastAsia" w:ascii="仿宋_GB2312" w:hAnsi="Times New Roman" w:eastAsia="仿宋_GB2312" w:cs="DengXian-Regular"/>
          <w:sz w:val="32"/>
          <w:szCs w:val="32"/>
        </w:rPr>
        <w:t>造成差异；我校响应上级节能减排，压缩日常公用经费，日常公用经费大幅度下降；本年支出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123.13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13.1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人员经费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无此项收入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无此项收入</w:t>
      </w:r>
      <w:r>
        <w:rPr>
          <w:rFonts w:hint="eastAsia" w:ascii="仿宋_GB2312" w:hAnsi="Times New Roman" w:eastAsia="仿宋_GB2312" w:cs="DengXian-Regular"/>
          <w:sz w:val="32"/>
          <w:szCs w:val="32"/>
        </w:rPr>
        <w:t>。</w:t>
      </w:r>
    </w:p>
    <w:p>
      <w:pPr>
        <w:adjustRightInd w:val="0"/>
        <w:snapToGrid w:val="0"/>
        <w:spacing w:line="580" w:lineRule="exact"/>
        <w:ind w:firstLine="420" w:firstLineChars="200"/>
        <w:rPr>
          <w:rFonts w:ascii="仿宋_GB2312" w:hAnsi="Times New Roman" w:eastAsia="仿宋_GB2312" w:cs="DengXian-Regular"/>
          <w:sz w:val="32"/>
          <w:szCs w:val="32"/>
        </w:rPr>
      </w:pPr>
      <w:r>
        <w:drawing>
          <wp:anchor distT="0" distB="0" distL="114300" distR="114300" simplePos="0" relativeHeight="251674624" behindDoc="0" locked="0" layoutInCell="1" allowOverlap="1">
            <wp:simplePos x="0" y="0"/>
            <wp:positionH relativeFrom="column">
              <wp:posOffset>3916680</wp:posOffset>
            </wp:positionH>
            <wp:positionV relativeFrom="paragraph">
              <wp:posOffset>62230</wp:posOffset>
            </wp:positionV>
            <wp:extent cx="1700530" cy="1699260"/>
            <wp:effectExtent l="4445" t="4445" r="17145" b="18415"/>
            <wp:wrapSquare wrapText="bothSides"/>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hint="eastAsia" w:ascii="仿宋_GB2312" w:hAnsi="Times New Roman" w:eastAsia="仿宋_GB2312" w:cs="DengXian-Regular"/>
          <w:sz w:val="32"/>
          <w:szCs w:val="32"/>
        </w:rPr>
        <w:t>3.国有资本经营预算财政</w:t>
      </w:r>
      <w:bookmarkStart w:id="0" w:name="_GoBack"/>
      <w:bookmarkEnd w:id="0"/>
      <w:r>
        <w:rPr>
          <w:rFonts w:hint="eastAsia" w:ascii="仿宋_GB2312" w:hAnsi="Times New Roman" w:eastAsia="仿宋_GB2312" w:cs="DengXian-Regular"/>
          <w:sz w:val="32"/>
          <w:szCs w:val="32"/>
        </w:rPr>
        <w:t>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无此项收入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无此项收入</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89.83</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92.52</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val="en-US" w:eastAsia="zh-CN"/>
        </w:rPr>
        <w:t>预算为年初大略的计算，相比较而言不是特别准确，尤其是在职教职工工资增长幅度未达到预期值，还有教职工退休，人员经费减少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89.83</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92.52</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val="en-US" w:eastAsia="zh-CN"/>
        </w:rPr>
        <w:t>在职教职工工资增长幅度未达到预期值，还有教职工退休，人员经费减少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89.83</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92.52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在职教职工工资增长幅度未达到预期值，还有教职工退休，人员经费减少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89.83</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在职教职工工资增长幅度未达到预期值，还有教职工退休，人员经费减少92.52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在职教职工工资增长幅度未达到预期值，还有教职工退休，人员经费减少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本单位无此项资金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本单位无此项资金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default" w:ascii="仿宋_GB2312" w:hAnsi="Times New Roman" w:eastAsia="仿宋_GB2312" w:cs="DengXian-Regular"/>
          <w:sz w:val="32"/>
          <w:szCs w:val="32"/>
          <w:highlight w:val="yellow"/>
          <w:lang w:val="en-US" w:eastAsia="zh-CN"/>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本单位无此项资金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本单位无此项资金。</w:t>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highlight w:val="none"/>
          <w:lang w:eastAsia="zh-CN"/>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一般公共服务（类）支出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无此项</w:t>
      </w:r>
      <w:r>
        <w:rPr>
          <w:rFonts w:hint="eastAsia" w:ascii="仿宋_GB2312" w:hAnsi="Times New Roman" w:eastAsia="仿宋_GB2312" w:cs="DengXian-Regular"/>
          <w:sz w:val="32"/>
          <w:szCs w:val="32"/>
        </w:rPr>
        <w:t>支出；公共安全类（类）支出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无此项</w:t>
      </w:r>
      <w:r>
        <w:rPr>
          <w:rFonts w:hint="eastAsia" w:ascii="仿宋_GB2312" w:hAnsi="Times New Roman" w:eastAsia="仿宋_GB2312" w:cs="DengXian-Regular"/>
          <w:sz w:val="32"/>
          <w:szCs w:val="32"/>
        </w:rPr>
        <w:t>支出；教育（类）支出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人员经费</w:t>
      </w:r>
      <w:r>
        <w:rPr>
          <w:rFonts w:hint="eastAsia" w:ascii="仿宋_GB2312" w:hAnsi="Times New Roman" w:eastAsia="仿宋_GB2312" w:cs="DengXian-Regular"/>
          <w:sz w:val="32"/>
          <w:szCs w:val="32"/>
        </w:rPr>
        <w:t>等支出；科学技术（类）支出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无此项</w:t>
      </w:r>
      <w:r>
        <w:rPr>
          <w:rFonts w:hint="eastAsia" w:ascii="仿宋_GB2312" w:hAnsi="Times New Roman" w:eastAsia="仿宋_GB2312" w:cs="DengXian-Regular"/>
          <w:sz w:val="32"/>
          <w:szCs w:val="32"/>
        </w:rPr>
        <w:t>支出；</w:t>
      </w:r>
      <w:r>
        <w:rPr>
          <w:rFonts w:hint="eastAsia" w:ascii="仿宋_GB2312" w:hAnsi="Times New Roman" w:eastAsia="仿宋_GB2312" w:cs="Wingdings"/>
          <w:sz w:val="32"/>
          <w:szCs w:val="32"/>
        </w:rPr>
        <w:t xml:space="preserve">社会保障和就业（类）支出 </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%；住房保障（类）支出</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 xml:space="preserve">万元，占 </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w:t>
      </w:r>
      <w:r>
        <w:rPr>
          <w:rFonts w:hint="eastAsia" w:ascii="仿宋_GB2312" w:hAnsi="Times New Roman" w:eastAsia="仿宋_GB2312" w:cs="DengXian-Regular"/>
          <w:sz w:val="32"/>
          <w:szCs w:val="32"/>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817.27</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人员经费 </w:t>
      </w:r>
      <w:r>
        <w:rPr>
          <w:rFonts w:hint="eastAsia" w:ascii="仿宋_GB2312" w:hAnsi="Times New Roman" w:eastAsia="仿宋_GB2312" w:cs="DengXian-Regular"/>
          <w:sz w:val="32"/>
          <w:szCs w:val="32"/>
          <w:lang w:val="en-US" w:eastAsia="zh-CN"/>
        </w:rPr>
        <w:t>811.97</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万元，主要包括基本工资、津贴补贴、奖金、绩效工资、机关事业单位基本养老保险缴费、职业年金缴费、职工基本医疗保险缴费、公务员医疗补助缴费、住房公积金、其他社会保障缴费。公用经费</w:t>
      </w:r>
      <w:r>
        <w:rPr>
          <w:rFonts w:hint="eastAsia" w:ascii="仿宋_GB2312" w:hAnsi="Times New Roman" w:eastAsia="仿宋_GB2312" w:cs="DengXian-Regular"/>
          <w:sz w:val="32"/>
          <w:szCs w:val="32"/>
          <w:lang w:val="en-US" w:eastAsia="zh-CN"/>
        </w:rPr>
        <w:t>5.3</w:t>
      </w:r>
      <w:r>
        <w:rPr>
          <w:rFonts w:hint="eastAsia" w:ascii="仿宋_GB2312" w:hAnsi="Times New Roman" w:eastAsia="仿宋_GB2312" w:cs="DengXian-Regular"/>
          <w:sz w:val="32"/>
          <w:szCs w:val="32"/>
        </w:rPr>
        <w:t>万元，主要包括差旅费、培训费、工会经费、福利费。</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本单位无三公经费</w:t>
      </w:r>
      <w:r>
        <w:rPr>
          <w:rFonts w:hint="eastAsia" w:ascii="仿宋_GB2312" w:hAnsi="Times New Roman" w:eastAsia="仿宋_GB2312" w:cs="DengXian-Regular"/>
          <w:sz w:val="32"/>
          <w:szCs w:val="32"/>
        </w:rPr>
        <w:t>；较2020年度决算增加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本单位无三公经费</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b/>
          <w:bCs/>
          <w:sz w:val="32"/>
          <w:szCs w:val="32"/>
        </w:rPr>
        <w:t>/</w:t>
      </w:r>
      <w:r>
        <w:rPr>
          <w:rFonts w:hint="eastAsia" w:ascii="仿宋_GB2312" w:hAnsi="Times New Roman" w:eastAsia="仿宋_GB2312" w:cs="DengXian-Regular"/>
          <w:sz w:val="32"/>
          <w:szCs w:val="32"/>
        </w:rPr>
        <w:t>无本单位组织的出国（境）团组。因公出国（境）费支出较预算增加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本单位无因公出国（境）费用</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本单位无因公出国（境）费用</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本单位本单位未发生‘公务用车购置’经费支出</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本单位本单位未发生‘公务用车购置’经费支出</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本单位未发生‘公务用车购置’经费支出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本单位未发生‘公务用车购置’经费支出</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本单位未发生‘公务用车运行维护’经费支出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本单位未发生‘公务用车运行维护’经费支出</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本单位未发生‘公务接待’经费支出</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本单位未发生‘公务接待’经费支出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817.27</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全部</w:t>
      </w:r>
      <w:r>
        <w:rPr>
          <w:rFonts w:hint="eastAsia" w:ascii="仿宋_GB2312" w:hAnsi="仿宋_GB2312" w:eastAsia="仿宋_GB2312" w:cs="仿宋_GB2312"/>
          <w:sz w:val="32"/>
          <w:szCs w:val="32"/>
        </w:rPr>
        <w:t>。组织对2021年度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个政府性基金预算项目支出开展绩效自评，共涉及资金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万元，占政府性基金预算项目支出总额的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adjustRightInd w:val="0"/>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组织对“</w:t>
      </w:r>
      <w:r>
        <w:rPr>
          <w:rFonts w:hint="eastAsia" w:ascii="仿宋_GB2312" w:hAnsi="仿宋_GB2312" w:eastAsia="仿宋_GB2312" w:cs="仿宋_GB2312"/>
          <w:sz w:val="32"/>
          <w:szCs w:val="32"/>
          <w:highlight w:val="none"/>
          <w:lang w:val="en-US" w:eastAsia="zh-CN"/>
        </w:rPr>
        <w:t>一般公共预算支出</w:t>
      </w:r>
      <w:r>
        <w:rPr>
          <w:rFonts w:hint="eastAsia" w:ascii="仿宋_GB2312" w:hAnsi="仿宋_GB2312" w:eastAsia="仿宋_GB2312" w:cs="仿宋_GB2312"/>
          <w:sz w:val="32"/>
          <w:szCs w:val="32"/>
          <w:highlight w:val="none"/>
        </w:rPr>
        <w:t>”等一级项</w:t>
      </w:r>
      <w:r>
        <w:rPr>
          <w:rFonts w:hint="eastAsia" w:ascii="仿宋_GB2312" w:hAnsi="仿宋_GB2312" w:eastAsia="仿宋_GB2312" w:cs="仿宋_GB2312"/>
          <w:sz w:val="32"/>
          <w:szCs w:val="32"/>
        </w:rPr>
        <w:t>目开展了重点评价，涉及一般公共预算支出</w:t>
      </w:r>
      <w:r>
        <w:rPr>
          <w:rFonts w:hint="eastAsia" w:ascii="仿宋_GB2312" w:hAnsi="仿宋_GB2312" w:eastAsia="仿宋_GB2312" w:cs="仿宋_GB2312"/>
          <w:sz w:val="32"/>
          <w:szCs w:val="32"/>
          <w:lang w:val="en-US" w:eastAsia="zh-CN"/>
        </w:rPr>
        <w:t>817.27</w:t>
      </w:r>
      <w:r>
        <w:rPr>
          <w:rFonts w:hint="eastAsia" w:ascii="仿宋_GB2312" w:hAnsi="仿宋_GB2312" w:eastAsia="仿宋_GB2312" w:cs="仿宋_GB2312"/>
          <w:sz w:val="32"/>
          <w:szCs w:val="32"/>
        </w:rPr>
        <w:t>万元，政府性基金预算支出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万元。其中，对“</w:t>
      </w:r>
      <w:r>
        <w:rPr>
          <w:rFonts w:hint="eastAsia" w:ascii="仿宋_GB2312" w:hAnsi="仿宋_GB2312" w:eastAsia="仿宋_GB2312" w:cs="仿宋_GB2312"/>
          <w:sz w:val="32"/>
          <w:szCs w:val="32"/>
          <w:lang w:val="en-US" w:eastAsia="zh-CN"/>
        </w:rPr>
        <w:t>一般公共预算支出</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部内评审机构开展绩效评价。从评价情况来看，</w:t>
      </w:r>
      <w:r>
        <w:rPr>
          <w:rFonts w:hint="eastAsia" w:ascii="仿宋_GB2312" w:hAnsi="仿宋_GB2312" w:eastAsia="仿宋_GB2312" w:cs="仿宋_GB2312"/>
          <w:sz w:val="32"/>
          <w:szCs w:val="32"/>
          <w:lang w:val="en-US" w:eastAsia="zh-CN"/>
        </w:rPr>
        <w:t>全年预算资金均可以及时发放，保障了广大教职工生活所需，提高了教职工的获得感和幸福感，鼓舞了教职工的工作热情。</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决算公开中反映</w:t>
      </w:r>
      <w:r>
        <w:rPr>
          <w:rFonts w:hint="eastAsia" w:ascii="仿宋_GB2312" w:hAnsi="仿宋_GB2312" w:eastAsia="仿宋_GB2312" w:cs="仿宋_GB2312"/>
          <w:sz w:val="32"/>
          <w:szCs w:val="32"/>
          <w:lang w:val="en-US" w:eastAsia="zh-CN"/>
        </w:rPr>
        <w:t>教师培训费</w:t>
      </w:r>
      <w:r>
        <w:rPr>
          <w:rFonts w:hint="eastAsia" w:ascii="仿宋_GB2312" w:hAnsi="仿宋_GB2312" w:eastAsia="仿宋_GB2312" w:cs="仿宋_GB2312"/>
          <w:sz w:val="32"/>
          <w:szCs w:val="32"/>
        </w:rPr>
        <w:t>项目及</w:t>
      </w:r>
      <w:r>
        <w:rPr>
          <w:rFonts w:hint="eastAsia" w:ascii="仿宋_GB2312" w:hAnsi="仿宋_GB2312" w:eastAsia="仿宋_GB2312" w:cs="仿宋_GB2312"/>
          <w:sz w:val="32"/>
          <w:szCs w:val="32"/>
          <w:lang w:val="en-US" w:eastAsia="zh-CN"/>
        </w:rPr>
        <w:t>离退休教师福利费</w:t>
      </w:r>
      <w:r>
        <w:rPr>
          <w:rFonts w:hint="eastAsia" w:ascii="仿宋_GB2312" w:hAnsi="仿宋_GB2312" w:eastAsia="仿宋_GB2312" w:cs="仿宋_GB2312"/>
          <w:sz w:val="32"/>
          <w:szCs w:val="32"/>
        </w:rPr>
        <w:t>项目等</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个项目绩效自评结果。</w:t>
      </w:r>
    </w:p>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sectPr>
          <w:pgSz w:w="11906" w:h="16838"/>
          <w:pgMar w:top="2041" w:right="1531" w:bottom="2041" w:left="1531" w:header="851" w:footer="992" w:gutter="0"/>
          <w:cols w:space="425" w:num="1"/>
          <w:docGrid w:type="lines" w:linePitch="312" w:charSpace="0"/>
        </w:sectPr>
      </w:pPr>
    </w:p>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教师培训费</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lang w:val="en-US" w:eastAsia="zh-CN"/>
        </w:rPr>
        <w:t>教师培训费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0.10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0.10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通过项目实施，完成了年初设定的各项绩效目标，完成</w:t>
      </w:r>
      <w:r>
        <w:rPr>
          <w:rFonts w:hint="eastAsia" w:ascii="仿宋_GB2312" w:hAnsi="仿宋_GB2312" w:eastAsia="仿宋_GB2312" w:cs="仿宋_GB2312"/>
          <w:sz w:val="32"/>
          <w:szCs w:val="32"/>
          <w:highlight w:val="none"/>
          <w:lang w:val="en-US" w:eastAsia="zh-CN"/>
        </w:rPr>
        <w:t>培训教职工5人次以上的目标</w:t>
      </w:r>
      <w:r>
        <w:rPr>
          <w:rFonts w:hint="eastAsia" w:ascii="仿宋_GB2312" w:hAnsi="仿宋_GB2312" w:eastAsia="仿宋_GB2312" w:cs="仿宋_GB2312"/>
          <w:sz w:val="32"/>
          <w:szCs w:val="32"/>
          <w:highlight w:val="none"/>
        </w:rPr>
        <w:t>;完成</w:t>
      </w:r>
      <w:r>
        <w:rPr>
          <w:rFonts w:hint="eastAsia" w:ascii="仿宋_GB2312" w:hAnsi="仿宋_GB2312" w:eastAsia="仿宋_GB2312" w:cs="仿宋_GB2312"/>
          <w:sz w:val="32"/>
          <w:szCs w:val="32"/>
          <w:highlight w:val="none"/>
          <w:lang w:val="en-US" w:eastAsia="zh-CN"/>
        </w:rPr>
        <w:t>培训费用及时支出</w:t>
      </w:r>
      <w:r>
        <w:rPr>
          <w:rFonts w:hint="eastAsia" w:ascii="仿宋_GB2312" w:hAnsi="仿宋_GB2312" w:eastAsia="仿宋_GB2312" w:cs="仿宋_GB2312"/>
          <w:sz w:val="32"/>
          <w:szCs w:val="32"/>
          <w:highlight w:val="none"/>
        </w:rPr>
        <w:t>等。未发现问题）。</w:t>
      </w:r>
    </w:p>
    <w:tbl>
      <w:tblPr>
        <w:tblStyle w:val="5"/>
        <w:tblW w:w="1418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1"/>
        <w:gridCol w:w="1175"/>
        <w:gridCol w:w="1944"/>
        <w:gridCol w:w="1429"/>
        <w:gridCol w:w="1746"/>
        <w:gridCol w:w="1837"/>
        <w:gridCol w:w="508"/>
        <w:gridCol w:w="1752"/>
        <w:gridCol w:w="1295"/>
        <w:gridCol w:w="2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4185" w:type="dxa"/>
            <w:gridSpan w:val="10"/>
            <w:vMerge w:val="restart"/>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000000"/>
                <w:sz w:val="36"/>
                <w:szCs w:val="36"/>
                <w:u w:val="none"/>
              </w:rPr>
            </w:pPr>
            <w:r>
              <w:rPr>
                <w:rFonts w:hint="default" w:ascii="Arial" w:hAnsi="Arial" w:eastAsia="宋体" w:cs="Arial"/>
                <w:i w:val="0"/>
                <w:iCs w:val="0"/>
                <w:color w:val="000000"/>
                <w:kern w:val="0"/>
                <w:sz w:val="36"/>
                <w:szCs w:val="36"/>
                <w:u w:val="none"/>
                <w:lang w:val="en-US" w:eastAsia="zh-CN" w:bidi="ar"/>
              </w:rPr>
              <w:t>预算项目绩效表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4185" w:type="dxa"/>
            <w:gridSpan w:val="10"/>
            <w:vMerge w:val="continue"/>
            <w:tcBorders>
              <w:top w:val="single" w:color="B0C4DE" w:sz="4" w:space="0"/>
              <w:left w:val="single" w:color="B0C4DE" w:sz="4" w:space="0"/>
              <w:bottom w:val="single" w:color="B0C4DE" w:sz="4" w:space="0"/>
              <w:right w:val="single" w:color="B0C4DE" w:sz="4" w:space="0"/>
            </w:tcBorders>
            <w:shd w:val="clear" w:color="auto" w:fill="auto"/>
            <w:noWrap/>
            <w:vAlign w:val="center"/>
          </w:tcPr>
          <w:p>
            <w:pPr>
              <w:jc w:val="center"/>
              <w:rPr>
                <w:rFonts w:hint="default" w:ascii="Arial" w:hAnsi="Arial" w:eastAsia="宋体" w:cs="Arial"/>
                <w:i w:val="0"/>
                <w:iCs w:val="0"/>
                <w:color w:val="000000"/>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w:t>
            </w:r>
          </w:p>
        </w:tc>
        <w:tc>
          <w:tcPr>
            <w:tcW w:w="3119"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项目编码</w:t>
            </w:r>
          </w:p>
        </w:tc>
        <w:tc>
          <w:tcPr>
            <w:tcW w:w="3175"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13010922P00139510007R</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项目名称</w:t>
            </w:r>
          </w:p>
        </w:tc>
        <w:tc>
          <w:tcPr>
            <w:tcW w:w="5643"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w:t>
            </w:r>
          </w:p>
        </w:tc>
        <w:tc>
          <w:tcPr>
            <w:tcW w:w="3119"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主管部门及代码</w:t>
            </w:r>
          </w:p>
        </w:tc>
        <w:tc>
          <w:tcPr>
            <w:tcW w:w="3175"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360-石家庄市藁城区教育局</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实施单位</w:t>
            </w:r>
          </w:p>
        </w:tc>
        <w:tc>
          <w:tcPr>
            <w:tcW w:w="5643"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360015-石家庄市藁城区第五中学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w:t>
            </w:r>
          </w:p>
        </w:tc>
        <w:tc>
          <w:tcPr>
            <w:tcW w:w="6294"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项目绩效模板</w:t>
            </w:r>
          </w:p>
        </w:tc>
        <w:tc>
          <w:tcPr>
            <w:tcW w:w="7480" w:type="dxa"/>
            <w:gridSpan w:val="5"/>
            <w:tcBorders>
              <w:top w:val="nil"/>
              <w:left w:val="nil"/>
              <w:bottom w:val="nil"/>
              <w:right w:val="nil"/>
            </w:tcBorders>
            <w:shd w:val="clear" w:color="auto" w:fill="auto"/>
            <w:noWrap/>
            <w:vAlign w:val="top"/>
          </w:tcPr>
          <w:p>
            <w:pPr>
              <w:rPr>
                <w:rFonts w:hint="default" w:ascii="Arial" w:hAnsi="Arial" w:eastAsia="宋体" w:cs="Arial"/>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w:t>
            </w:r>
          </w:p>
        </w:tc>
        <w:tc>
          <w:tcPr>
            <w:tcW w:w="1175" w:type="dxa"/>
            <w:vMerge w:val="restart"/>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绩效目标</w:t>
            </w:r>
          </w:p>
        </w:tc>
        <w:tc>
          <w:tcPr>
            <w:tcW w:w="12599" w:type="dxa"/>
            <w:gridSpan w:val="8"/>
            <w:tcBorders>
              <w:top w:val="single" w:color="B0C4DE" w:sz="4" w:space="0"/>
              <w:left w:val="single" w:color="B0C4DE"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中长期目标（2021年-2021年）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1175" w:type="dxa"/>
            <w:vMerge w:val="continue"/>
            <w:tcBorders>
              <w:top w:val="nil"/>
              <w:left w:val="nil"/>
              <w:bottom w:val="nil"/>
              <w:right w:val="nil"/>
            </w:tcBorders>
            <w:shd w:val="clear" w:color="auto" w:fill="auto"/>
            <w:noWrap/>
            <w:vAlign w:val="top"/>
          </w:tcPr>
          <w:p>
            <w:pPr>
              <w:rPr>
                <w:rFonts w:hint="default" w:ascii="Arial" w:hAnsi="Arial" w:eastAsia="宋体" w:cs="Arial"/>
                <w:b/>
                <w:bCs/>
                <w:i w:val="0"/>
                <w:iCs w:val="0"/>
                <w:color w:val="000000"/>
                <w:sz w:val="22"/>
                <w:szCs w:val="22"/>
                <w:u w:val="none"/>
              </w:rPr>
            </w:pPr>
          </w:p>
        </w:tc>
        <w:tc>
          <w:tcPr>
            <w:tcW w:w="1944" w:type="dxa"/>
            <w:tcBorders>
              <w:top w:val="nil"/>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目标1</w:t>
            </w:r>
          </w:p>
        </w:tc>
        <w:tc>
          <w:tcPr>
            <w:tcW w:w="10655" w:type="dxa"/>
            <w:gridSpan w:val="7"/>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目标内容1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6</w:t>
            </w:r>
          </w:p>
        </w:tc>
        <w:tc>
          <w:tcPr>
            <w:tcW w:w="1175"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一级指标</w:t>
            </w:r>
          </w:p>
        </w:tc>
        <w:tc>
          <w:tcPr>
            <w:tcW w:w="1944"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二级指标</w:t>
            </w:r>
          </w:p>
        </w:tc>
        <w:tc>
          <w:tcPr>
            <w:tcW w:w="1429"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三级指标</w:t>
            </w:r>
          </w:p>
        </w:tc>
        <w:tc>
          <w:tcPr>
            <w:tcW w:w="1746"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指标说明</w:t>
            </w:r>
          </w:p>
        </w:tc>
        <w:tc>
          <w:tcPr>
            <w:tcW w:w="4097" w:type="dxa"/>
            <w:gridSpan w:val="3"/>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指标值</w:t>
            </w:r>
          </w:p>
        </w:tc>
        <w:tc>
          <w:tcPr>
            <w:tcW w:w="1295"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指标确定依据</w:t>
            </w:r>
          </w:p>
        </w:tc>
        <w:tc>
          <w:tcPr>
            <w:tcW w:w="2088"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评（扣）分标准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7</w:t>
            </w:r>
          </w:p>
        </w:tc>
        <w:tc>
          <w:tcPr>
            <w:tcW w:w="1175"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944"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429"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746"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837"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符号</w:t>
            </w:r>
          </w:p>
        </w:tc>
        <w:tc>
          <w:tcPr>
            <w:tcW w:w="508"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值</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单位（文字描述）</w:t>
            </w:r>
          </w:p>
        </w:tc>
        <w:tc>
          <w:tcPr>
            <w:tcW w:w="1295"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208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w:t>
            </w:r>
          </w:p>
        </w:tc>
        <w:tc>
          <w:tcPr>
            <w:tcW w:w="1175"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产出指标</w:t>
            </w: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培训人次</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全年培训人次</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人次</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w:t>
            </w:r>
          </w:p>
        </w:tc>
        <w:tc>
          <w:tcPr>
            <w:tcW w:w="1175"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培训质量</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培训完成后的质量测评通过率</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95</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%（百分比）</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测评成绩</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测评成绩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10</w:t>
            </w:r>
          </w:p>
        </w:tc>
        <w:tc>
          <w:tcPr>
            <w:tcW w:w="1175"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经费使用时间</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经费支出时效</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文字描述</w:t>
            </w:r>
          </w:p>
        </w:tc>
        <w:tc>
          <w:tcPr>
            <w:tcW w:w="508" w:type="dxa"/>
            <w:tcBorders>
              <w:top w:val="nil"/>
              <w:left w:val="nil"/>
              <w:bottom w:val="nil"/>
              <w:right w:val="nil"/>
            </w:tcBorders>
            <w:shd w:val="clear" w:color="auto" w:fill="auto"/>
            <w:noWrap/>
            <w:vAlign w:val="top"/>
          </w:tcPr>
          <w:p>
            <w:pPr>
              <w:jc w:val="left"/>
              <w:rPr>
                <w:rFonts w:hint="default" w:ascii="Calibri" w:hAnsi="Calibri" w:eastAsia="宋体" w:cs="Calibri"/>
                <w:i w:val="0"/>
                <w:iCs w:val="0"/>
                <w:color w:val="000000"/>
                <w:sz w:val="22"/>
                <w:szCs w:val="22"/>
                <w:u w:val="none"/>
              </w:rPr>
            </w:pP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按季度序时支出</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财务报表</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财务报表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w:t>
            </w:r>
          </w:p>
        </w:tc>
        <w:tc>
          <w:tcPr>
            <w:tcW w:w="1175"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单人费用</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平均每名教师产生的培训费用</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200</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元</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财务报表</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财务报表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12</w:t>
            </w:r>
          </w:p>
        </w:tc>
        <w:tc>
          <w:tcPr>
            <w:tcW w:w="117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效益指标</w:t>
            </w: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受益教师量数</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享受培训教师人数</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人</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领取表</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领取表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11"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lang w:val="en-US"/>
              </w:rPr>
            </w:pPr>
            <w:r>
              <w:rPr>
                <w:rFonts w:hint="default" w:ascii="Calibri" w:hAnsi="Calibri" w:eastAsia="宋体" w:cs="Calibri"/>
                <w:i w:val="0"/>
                <w:iCs w:val="0"/>
                <w:color w:val="000000"/>
                <w:kern w:val="0"/>
                <w:sz w:val="22"/>
                <w:szCs w:val="22"/>
                <w:u w:val="none"/>
                <w:lang w:val="en-US" w:eastAsia="zh-CN" w:bidi="ar"/>
              </w:rPr>
              <w:t>1</w:t>
            </w:r>
            <w:r>
              <w:rPr>
                <w:rFonts w:hint="eastAsia" w:ascii="Calibri" w:hAnsi="Calibri" w:eastAsia="宋体" w:cs="Calibri"/>
                <w:i w:val="0"/>
                <w:iCs w:val="0"/>
                <w:color w:val="000000"/>
                <w:kern w:val="0"/>
                <w:sz w:val="22"/>
                <w:szCs w:val="22"/>
                <w:u w:val="none"/>
                <w:lang w:val="en-US" w:eastAsia="zh-CN" w:bidi="ar"/>
              </w:rPr>
              <w:t>3</w:t>
            </w:r>
          </w:p>
        </w:tc>
        <w:tc>
          <w:tcPr>
            <w:tcW w:w="117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满意度指标</w:t>
            </w:r>
          </w:p>
        </w:tc>
        <w:tc>
          <w:tcPr>
            <w:tcW w:w="1944"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1429"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教师满意度(%)</w:t>
            </w:r>
          </w:p>
        </w:tc>
        <w:tc>
          <w:tcPr>
            <w:tcW w:w="174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教师工对当年项目的满意情况</w:t>
            </w:r>
          </w:p>
        </w:tc>
        <w:tc>
          <w:tcPr>
            <w:tcW w:w="183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95</w:t>
            </w:r>
          </w:p>
        </w:tc>
        <w:tc>
          <w:tcPr>
            <w:tcW w:w="175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%（百分比）</w:t>
            </w:r>
          </w:p>
        </w:tc>
        <w:tc>
          <w:tcPr>
            <w:tcW w:w="1295"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问卷调查</w:t>
            </w:r>
          </w:p>
        </w:tc>
        <w:tc>
          <w:tcPr>
            <w:tcW w:w="208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问卷调查</w:t>
            </w:r>
          </w:p>
        </w:tc>
      </w:tr>
    </w:tbl>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离退休教师福利费</w:t>
      </w:r>
      <w:r>
        <w:rPr>
          <w:rFonts w:hint="eastAsia" w:ascii="仿宋_GB2312" w:hAnsi="仿宋_GB2312" w:eastAsia="仿宋_GB2312" w:cs="仿宋_GB2312"/>
          <w:sz w:val="32"/>
          <w:szCs w:val="32"/>
        </w:rPr>
        <w:t>项目绩效自评综述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根据年初设定的绩效目标，</w:t>
      </w:r>
      <w:r>
        <w:rPr>
          <w:rFonts w:hint="eastAsia" w:ascii="仿宋_GB2312" w:hAnsi="仿宋_GB2312" w:eastAsia="仿宋_GB2312" w:cs="仿宋_GB2312"/>
          <w:sz w:val="32"/>
          <w:szCs w:val="32"/>
          <w:lang w:val="en-US" w:eastAsia="zh-CN"/>
        </w:rPr>
        <w:t>离退休教师福利费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4.26</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4.26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_GB2312" w:hAnsi="仿宋_GB2312" w:eastAsia="仿宋_GB2312" w:cs="仿宋_GB2312"/>
          <w:sz w:val="32"/>
          <w:szCs w:val="32"/>
          <w:highlight w:val="none"/>
          <w:lang w:val="en-US" w:eastAsia="zh-CN"/>
        </w:rPr>
        <w:t>慰问离退休教职工20人次以上的目标</w:t>
      </w:r>
      <w:r>
        <w:rPr>
          <w:rFonts w:hint="eastAsia" w:ascii="仿宋_GB2312" w:hAnsi="仿宋_GB2312" w:eastAsia="仿宋_GB2312" w:cs="仿宋_GB2312"/>
          <w:sz w:val="32"/>
          <w:szCs w:val="32"/>
          <w:highlight w:val="none"/>
        </w:rPr>
        <w:t>;完成</w:t>
      </w:r>
      <w:r>
        <w:rPr>
          <w:rFonts w:hint="eastAsia" w:ascii="仿宋_GB2312" w:hAnsi="仿宋_GB2312" w:eastAsia="仿宋_GB2312" w:cs="仿宋_GB2312"/>
          <w:sz w:val="32"/>
          <w:szCs w:val="32"/>
          <w:highlight w:val="none"/>
          <w:lang w:val="en-US" w:eastAsia="zh-CN"/>
        </w:rPr>
        <w:t>按时序将所需费用及时支出</w:t>
      </w:r>
      <w:r>
        <w:rPr>
          <w:rFonts w:hint="eastAsia" w:ascii="仿宋_GB2312" w:hAnsi="仿宋_GB2312" w:eastAsia="仿宋_GB2312" w:cs="仿宋_GB2312"/>
          <w:sz w:val="32"/>
          <w:szCs w:val="32"/>
          <w:highlight w:val="none"/>
        </w:rPr>
        <w:t>等。未发现问题）。</w:t>
      </w:r>
    </w:p>
    <w:tbl>
      <w:tblPr>
        <w:tblStyle w:val="5"/>
        <w:tblW w:w="1327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5"/>
        <w:gridCol w:w="688"/>
        <w:gridCol w:w="1621"/>
        <w:gridCol w:w="1584"/>
        <w:gridCol w:w="1692"/>
        <w:gridCol w:w="1308"/>
        <w:gridCol w:w="636"/>
        <w:gridCol w:w="1867"/>
        <w:gridCol w:w="1128"/>
        <w:gridCol w:w="2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3279" w:type="dxa"/>
            <w:gridSpan w:val="10"/>
            <w:vMerge w:val="restart"/>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000000"/>
                <w:sz w:val="36"/>
                <w:szCs w:val="36"/>
                <w:u w:val="none"/>
              </w:rPr>
            </w:pPr>
            <w:r>
              <w:rPr>
                <w:rFonts w:hint="default" w:ascii="Arial" w:hAnsi="Arial" w:eastAsia="宋体" w:cs="Arial"/>
                <w:i w:val="0"/>
                <w:iCs w:val="0"/>
                <w:color w:val="000000"/>
                <w:kern w:val="0"/>
                <w:sz w:val="36"/>
                <w:szCs w:val="36"/>
                <w:u w:val="none"/>
                <w:lang w:val="en-US" w:eastAsia="zh-CN" w:bidi="ar"/>
              </w:rPr>
              <w:t>预算项目绩效表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3279" w:type="dxa"/>
            <w:gridSpan w:val="10"/>
            <w:vMerge w:val="continue"/>
            <w:tcBorders>
              <w:top w:val="single" w:color="B0C4DE" w:sz="4" w:space="0"/>
              <w:left w:val="single" w:color="B0C4DE" w:sz="4" w:space="0"/>
              <w:bottom w:val="single" w:color="B0C4DE" w:sz="4" w:space="0"/>
              <w:right w:val="single" w:color="B0C4DE" w:sz="4" w:space="0"/>
            </w:tcBorders>
            <w:shd w:val="clear" w:color="auto" w:fill="auto"/>
            <w:noWrap/>
            <w:vAlign w:val="center"/>
          </w:tcPr>
          <w:p>
            <w:pPr>
              <w:jc w:val="center"/>
              <w:rPr>
                <w:rFonts w:hint="default" w:ascii="Arial" w:hAnsi="Arial" w:eastAsia="宋体" w:cs="Arial"/>
                <w:i w:val="0"/>
                <w:iCs w:val="0"/>
                <w:color w:val="000000"/>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w:t>
            </w:r>
          </w:p>
        </w:tc>
        <w:tc>
          <w:tcPr>
            <w:tcW w:w="2309"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项目编码</w:t>
            </w:r>
          </w:p>
        </w:tc>
        <w:tc>
          <w:tcPr>
            <w:tcW w:w="3276"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13010922P00142310009T</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项目名称</w:t>
            </w:r>
          </w:p>
        </w:tc>
        <w:tc>
          <w:tcPr>
            <w:tcW w:w="5941"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离退休教师福利费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w:t>
            </w:r>
          </w:p>
        </w:tc>
        <w:tc>
          <w:tcPr>
            <w:tcW w:w="2309"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主管部门及代码</w:t>
            </w:r>
          </w:p>
        </w:tc>
        <w:tc>
          <w:tcPr>
            <w:tcW w:w="3276" w:type="dxa"/>
            <w:gridSpan w:val="2"/>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360-石家庄市藁城区教育局</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实施单位</w:t>
            </w:r>
          </w:p>
        </w:tc>
        <w:tc>
          <w:tcPr>
            <w:tcW w:w="5941"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360015-石家庄市藁城区第五中学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w:t>
            </w:r>
          </w:p>
        </w:tc>
        <w:tc>
          <w:tcPr>
            <w:tcW w:w="5585" w:type="dxa"/>
            <w:gridSpan w:val="4"/>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项目绩效模板</w:t>
            </w:r>
          </w:p>
        </w:tc>
        <w:tc>
          <w:tcPr>
            <w:tcW w:w="7249" w:type="dxa"/>
            <w:gridSpan w:val="5"/>
            <w:tcBorders>
              <w:top w:val="nil"/>
              <w:left w:val="nil"/>
              <w:bottom w:val="nil"/>
              <w:right w:val="nil"/>
            </w:tcBorders>
            <w:shd w:val="clear" w:color="auto" w:fill="auto"/>
            <w:noWrap/>
            <w:vAlign w:val="top"/>
          </w:tcPr>
          <w:p>
            <w:pPr>
              <w:rPr>
                <w:rFonts w:hint="default" w:ascii="Arial" w:hAnsi="Arial" w:eastAsia="宋体" w:cs="Arial"/>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w:t>
            </w:r>
          </w:p>
        </w:tc>
        <w:tc>
          <w:tcPr>
            <w:tcW w:w="688" w:type="dxa"/>
            <w:vMerge w:val="restart"/>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Arial" w:hAnsi="Arial" w:eastAsia="宋体" w:cs="Arial"/>
                <w:b/>
                <w:bCs/>
                <w:i w:val="0"/>
                <w:iCs w:val="0"/>
                <w:color w:val="000000"/>
                <w:sz w:val="22"/>
                <w:szCs w:val="22"/>
                <w:u w:val="none"/>
              </w:rPr>
            </w:pPr>
            <w:r>
              <w:rPr>
                <w:rFonts w:hint="default" w:ascii="Arial" w:hAnsi="Arial" w:eastAsia="宋体" w:cs="Arial"/>
                <w:b/>
                <w:bCs/>
                <w:i w:val="0"/>
                <w:iCs w:val="0"/>
                <w:color w:val="000000"/>
                <w:kern w:val="0"/>
                <w:sz w:val="22"/>
                <w:szCs w:val="22"/>
                <w:u w:val="none"/>
                <w:lang w:val="en-US" w:eastAsia="zh-CN" w:bidi="ar"/>
              </w:rPr>
              <w:t>绩效目标</w:t>
            </w:r>
          </w:p>
        </w:tc>
        <w:tc>
          <w:tcPr>
            <w:tcW w:w="12146" w:type="dxa"/>
            <w:gridSpan w:val="8"/>
            <w:tcBorders>
              <w:top w:val="single" w:color="B0C4DE" w:sz="4" w:space="0"/>
              <w:left w:val="single" w:color="B0C4DE"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中长期目标（2021年-2021年）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688" w:type="dxa"/>
            <w:vMerge w:val="continue"/>
            <w:tcBorders>
              <w:top w:val="nil"/>
              <w:left w:val="nil"/>
              <w:bottom w:val="nil"/>
              <w:right w:val="nil"/>
            </w:tcBorders>
            <w:shd w:val="clear" w:color="auto" w:fill="auto"/>
            <w:noWrap/>
            <w:vAlign w:val="top"/>
          </w:tcPr>
          <w:p>
            <w:pPr>
              <w:rPr>
                <w:rFonts w:hint="default" w:ascii="Arial" w:hAnsi="Arial" w:eastAsia="宋体" w:cs="Arial"/>
                <w:b/>
                <w:bCs/>
                <w:i w:val="0"/>
                <w:iCs w:val="0"/>
                <w:color w:val="000000"/>
                <w:sz w:val="22"/>
                <w:szCs w:val="22"/>
                <w:u w:val="none"/>
              </w:rPr>
            </w:pPr>
          </w:p>
        </w:tc>
        <w:tc>
          <w:tcPr>
            <w:tcW w:w="1621" w:type="dxa"/>
            <w:tcBorders>
              <w:top w:val="nil"/>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目标1</w:t>
            </w:r>
          </w:p>
        </w:tc>
        <w:tc>
          <w:tcPr>
            <w:tcW w:w="10525" w:type="dxa"/>
            <w:gridSpan w:val="7"/>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保障教育工会活动正常开展，慰问教职工，提高教职工幸福指数。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6</w:t>
            </w:r>
          </w:p>
        </w:tc>
        <w:tc>
          <w:tcPr>
            <w:tcW w:w="688"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一级指标</w:t>
            </w:r>
          </w:p>
        </w:tc>
        <w:tc>
          <w:tcPr>
            <w:tcW w:w="1621"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二级指标</w:t>
            </w:r>
          </w:p>
        </w:tc>
        <w:tc>
          <w:tcPr>
            <w:tcW w:w="1584"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三级指标</w:t>
            </w:r>
          </w:p>
        </w:tc>
        <w:tc>
          <w:tcPr>
            <w:tcW w:w="1692"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指标说明</w:t>
            </w:r>
          </w:p>
        </w:tc>
        <w:tc>
          <w:tcPr>
            <w:tcW w:w="3811" w:type="dxa"/>
            <w:gridSpan w:val="3"/>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指标值</w:t>
            </w:r>
          </w:p>
        </w:tc>
        <w:tc>
          <w:tcPr>
            <w:tcW w:w="1128"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指标确定依据</w:t>
            </w:r>
          </w:p>
        </w:tc>
        <w:tc>
          <w:tcPr>
            <w:tcW w:w="2310"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评（扣）分标准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7</w:t>
            </w:r>
          </w:p>
        </w:tc>
        <w:tc>
          <w:tcPr>
            <w:tcW w:w="68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621"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584"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692"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308"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符号</w:t>
            </w:r>
          </w:p>
        </w:tc>
        <w:tc>
          <w:tcPr>
            <w:tcW w:w="636"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值</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单位（文字描述）</w:t>
            </w:r>
          </w:p>
        </w:tc>
        <w:tc>
          <w:tcPr>
            <w:tcW w:w="112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2310"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w:t>
            </w:r>
          </w:p>
        </w:tc>
        <w:tc>
          <w:tcPr>
            <w:tcW w:w="688" w:type="dxa"/>
            <w:vMerge w:val="restar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产出指标</w:t>
            </w: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享受慰问人次</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享受慰问人次</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&gt;=</w:t>
            </w:r>
          </w:p>
        </w:tc>
        <w:tc>
          <w:tcPr>
            <w:tcW w:w="63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20</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人次</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财务报表</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w:t>
            </w:r>
          </w:p>
        </w:tc>
        <w:tc>
          <w:tcPr>
            <w:tcW w:w="68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慰问物品质量</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慰问购置物品质量合格率</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&gt;=</w:t>
            </w:r>
          </w:p>
        </w:tc>
        <w:tc>
          <w:tcPr>
            <w:tcW w:w="63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95</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%（百分比）</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验收报告</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10</w:t>
            </w:r>
          </w:p>
        </w:tc>
        <w:tc>
          <w:tcPr>
            <w:tcW w:w="68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经费使用时间</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经费支出时效</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文字描述</w:t>
            </w:r>
          </w:p>
        </w:tc>
        <w:tc>
          <w:tcPr>
            <w:tcW w:w="636" w:type="dxa"/>
            <w:tcBorders>
              <w:top w:val="nil"/>
              <w:left w:val="nil"/>
              <w:bottom w:val="nil"/>
              <w:right w:val="nil"/>
            </w:tcBorders>
            <w:shd w:val="clear" w:color="auto" w:fill="auto"/>
            <w:noWrap/>
            <w:vAlign w:val="top"/>
          </w:tcPr>
          <w:p>
            <w:pPr>
              <w:jc w:val="left"/>
              <w:rPr>
                <w:rFonts w:hint="default" w:ascii="Calibri" w:hAnsi="Calibri" w:eastAsia="宋体" w:cs="Calibri"/>
                <w:i w:val="0"/>
                <w:iCs w:val="0"/>
                <w:color w:val="000000"/>
                <w:sz w:val="22"/>
                <w:szCs w:val="22"/>
                <w:u w:val="none"/>
              </w:rPr>
            </w:pP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Style w:val="8"/>
                <w:rFonts w:eastAsia="宋体"/>
                <w:lang w:val="en-US" w:eastAsia="zh-CN" w:bidi="ar"/>
              </w:rPr>
              <w:t>12</w:t>
            </w:r>
            <w:r>
              <w:rPr>
                <w:rStyle w:val="9"/>
                <w:lang w:val="en-US" w:eastAsia="zh-CN" w:bidi="ar"/>
              </w:rPr>
              <w:t>月初以前完成</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财务报表</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w:t>
            </w:r>
          </w:p>
        </w:tc>
        <w:tc>
          <w:tcPr>
            <w:tcW w:w="688" w:type="dxa"/>
            <w:vMerge w:val="continue"/>
            <w:tcBorders>
              <w:top w:val="nil"/>
              <w:left w:val="nil"/>
              <w:bottom w:val="nil"/>
              <w:right w:val="nil"/>
            </w:tcBorders>
            <w:shd w:val="clear" w:color="auto" w:fill="auto"/>
            <w:noWrap/>
            <w:vAlign w:val="top"/>
          </w:tcPr>
          <w:p>
            <w:pPr>
              <w:jc w:val="center"/>
              <w:rPr>
                <w:rFonts w:hint="default" w:ascii="Calibri" w:hAnsi="Calibri" w:eastAsia="宋体" w:cs="Calibri"/>
                <w:i w:val="0"/>
                <w:iCs w:val="0"/>
                <w:color w:val="000000"/>
                <w:sz w:val="22"/>
                <w:szCs w:val="22"/>
                <w:u w:val="none"/>
              </w:rPr>
            </w:pP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全年离退休教师费用</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全年离退休教师费用</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&lt;=</w:t>
            </w:r>
          </w:p>
        </w:tc>
        <w:tc>
          <w:tcPr>
            <w:tcW w:w="63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600</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元</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分配表</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12</w:t>
            </w:r>
          </w:p>
        </w:tc>
        <w:tc>
          <w:tcPr>
            <w:tcW w:w="688"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效益指标</w:t>
            </w: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受益教职工数</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受益教职工人数</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&gt;=</w:t>
            </w:r>
          </w:p>
        </w:tc>
        <w:tc>
          <w:tcPr>
            <w:tcW w:w="63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20</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人</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领取表</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5"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lang w:val="en-US"/>
              </w:rPr>
            </w:pPr>
            <w:r>
              <w:rPr>
                <w:rFonts w:hint="default" w:ascii="Calibri" w:hAnsi="Calibri" w:eastAsia="宋体" w:cs="Calibri"/>
                <w:i w:val="0"/>
                <w:iCs w:val="0"/>
                <w:color w:val="000000"/>
                <w:kern w:val="0"/>
                <w:sz w:val="22"/>
                <w:szCs w:val="22"/>
                <w:u w:val="none"/>
                <w:lang w:val="en-US" w:eastAsia="zh-CN" w:bidi="ar"/>
              </w:rPr>
              <w:t>1</w:t>
            </w:r>
            <w:r>
              <w:rPr>
                <w:rFonts w:hint="eastAsia" w:ascii="Calibri" w:hAnsi="Calibri" w:eastAsia="宋体" w:cs="Calibri"/>
                <w:i w:val="0"/>
                <w:iCs w:val="0"/>
                <w:color w:val="000000"/>
                <w:kern w:val="0"/>
                <w:sz w:val="22"/>
                <w:szCs w:val="22"/>
                <w:u w:val="none"/>
                <w:lang w:val="en-US" w:eastAsia="zh-CN" w:bidi="ar"/>
              </w:rPr>
              <w:t>3</w:t>
            </w:r>
          </w:p>
        </w:tc>
        <w:tc>
          <w:tcPr>
            <w:tcW w:w="688" w:type="dxa"/>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满意度指标</w:t>
            </w:r>
          </w:p>
        </w:tc>
        <w:tc>
          <w:tcPr>
            <w:tcW w:w="1621" w:type="dxa"/>
            <w:tcBorders>
              <w:top w:val="single" w:color="B0C4DE" w:sz="4" w:space="0"/>
              <w:left w:val="single" w:color="B0C4DE" w:sz="4" w:space="0"/>
              <w:bottom w:val="single" w:color="B0C4DE" w:sz="4" w:space="0"/>
              <w:right w:val="single" w:color="B0C4DE"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1584"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教职工满意度(%)</w:t>
            </w:r>
          </w:p>
        </w:tc>
        <w:tc>
          <w:tcPr>
            <w:tcW w:w="1692"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教职工对当年项目的满意情况</w:t>
            </w:r>
          </w:p>
        </w:tc>
        <w:tc>
          <w:tcPr>
            <w:tcW w:w="130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&gt;=</w:t>
            </w:r>
          </w:p>
        </w:tc>
        <w:tc>
          <w:tcPr>
            <w:tcW w:w="636"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95</w:t>
            </w:r>
          </w:p>
        </w:tc>
        <w:tc>
          <w:tcPr>
            <w:tcW w:w="1867"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%（百分比）</w:t>
            </w:r>
          </w:p>
        </w:tc>
        <w:tc>
          <w:tcPr>
            <w:tcW w:w="1128"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问卷调查</w:t>
            </w:r>
          </w:p>
        </w:tc>
        <w:tc>
          <w:tcPr>
            <w:tcW w:w="2310" w:type="dxa"/>
            <w:tcBorders>
              <w:top w:val="nil"/>
              <w:left w:val="nil"/>
              <w:bottom w:val="nil"/>
              <w:right w:val="nil"/>
            </w:tcBorders>
            <w:shd w:val="clear" w:color="auto" w:fill="auto"/>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是否达到绩效目标值</w:t>
            </w:r>
          </w:p>
        </w:tc>
      </w:tr>
    </w:tbl>
    <w:p>
      <w:pPr>
        <w:adjustRightInd w:val="0"/>
        <w:snapToGrid w:val="0"/>
        <w:spacing w:line="580" w:lineRule="exact"/>
        <w:ind w:left="420" w:leftChars="200" w:firstLine="321" w:firstLineChars="1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（三）财政评价项目绩效评价结果</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本单位无机关运行经费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万元、政府采购服务支出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rPr>
        <w:sectPr>
          <w:pgSz w:w="16838" w:h="11906" w:orient="landscape"/>
          <w:pgMar w:top="1531" w:right="1134" w:bottom="1531" w:left="1134" w:header="851" w:footer="992" w:gutter="0"/>
          <w:cols w:space="0" w:num="1"/>
          <w:rtlGutter w:val="0"/>
          <w:docGrid w:type="lines" w:linePitch="315" w:charSpace="0"/>
        </w:sect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其中，副部（省）级及以上领导用车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辆，主要领导干部用车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辆，机要通信用车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辆，应急保障用车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辆，执法执勤用车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辆，特种专业技术用车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辆，离退休干部用车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辆，其他用车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辆，其他用车主要是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_GB2312" w:hAnsi="Times New Roman" w:eastAsia="仿宋_GB2312" w:cs="DengXian-Regular"/>
          <w:sz w:val="32"/>
          <w:szCs w:val="32"/>
          <w:lang w:val="en-US" w:eastAsia="zh-CN"/>
        </w:rPr>
        <w:t>本单位无此类通用设备</w:t>
      </w:r>
      <w:r>
        <w:rPr>
          <w:rFonts w:hint="eastAsia" w:ascii="仿宋_GB2312" w:hAnsi="Times New Roman" w:eastAsia="仿宋_GB2312" w:cs="DengXian-Regular"/>
          <w:sz w:val="32"/>
          <w:szCs w:val="32"/>
        </w:rPr>
        <w:t xml:space="preserve"> ，单位价值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_GB2312" w:hAnsi="Times New Roman" w:eastAsia="仿宋_GB2312" w:cs="DengXian-Regular"/>
          <w:sz w:val="32"/>
          <w:szCs w:val="32"/>
          <w:lang w:val="en-US" w:eastAsia="zh-CN"/>
        </w:rPr>
        <w:t>本单位无此类专用设备</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2021年度无收支及结转结余情况，故</w:t>
      </w:r>
      <w:r>
        <w:rPr>
          <w:rFonts w:hint="eastAsia" w:ascii="仿宋_GB2312" w:hAnsi="Times New Roman" w:eastAsia="仿宋_GB2312" w:cs="DengXian-Regular"/>
          <w:sz w:val="32"/>
          <w:szCs w:val="32"/>
          <w:lang w:val="en-US" w:eastAsia="zh-CN"/>
        </w:rPr>
        <w:t>cs01年初结转和结余调整情况</w:t>
      </w:r>
      <w:r>
        <w:rPr>
          <w:rFonts w:hint="eastAsia" w:ascii="仿宋_GB2312" w:hAnsi="Times New Roman" w:eastAsia="仿宋_GB2312" w:cs="DengXian-Regular"/>
          <w:sz w:val="32"/>
          <w:szCs w:val="32"/>
        </w:rPr>
        <w:t>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1134" w:right="1531" w:bottom="1134" w:left="1531"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DB9A87"/>
    <w:multiLevelType w:val="singleLevel"/>
    <w:tmpl w:val="45DB9A87"/>
    <w:lvl w:ilvl="0" w:tentative="0">
      <w:start w:val="3"/>
      <w:numFmt w:val="chineseCounting"/>
      <w:suff w:val="nothing"/>
      <w:lvlText w:val="（%1）"/>
      <w:lvlJc w:val="left"/>
      <w:rPr>
        <w:rFonts w:hint="eastAsia"/>
      </w:rPr>
    </w:lvl>
  </w:abstractNum>
  <w:abstractNum w:abstractNumId="1">
    <w:nsid w:val="5F222FFA"/>
    <w:multiLevelType w:val="singleLevel"/>
    <w:tmpl w:val="5F222FF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zksImhkaWQiOiIwNGY3OTUxMTQ3MzAyM2M4NDU3MjMxZTVkYzY1NTgwNCIsInVzZXJDb3VudCI6Mn0="/>
  </w:docVars>
  <w:rsids>
    <w:rsidRoot w:val="00172A27"/>
    <w:rsid w:val="000031F7"/>
    <w:rsid w:val="00014862"/>
    <w:rsid w:val="00172A27"/>
    <w:rsid w:val="004550B9"/>
    <w:rsid w:val="004F62E3"/>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F2691F"/>
    <w:rsid w:val="05273E55"/>
    <w:rsid w:val="06EB1AB6"/>
    <w:rsid w:val="099D6B31"/>
    <w:rsid w:val="09FD66D9"/>
    <w:rsid w:val="0C825A97"/>
    <w:rsid w:val="0CE73BD2"/>
    <w:rsid w:val="10B242CF"/>
    <w:rsid w:val="11F4604E"/>
    <w:rsid w:val="1275797C"/>
    <w:rsid w:val="136D16FB"/>
    <w:rsid w:val="13AA21BF"/>
    <w:rsid w:val="13B82853"/>
    <w:rsid w:val="1A3D2C72"/>
    <w:rsid w:val="1CE15084"/>
    <w:rsid w:val="216937C4"/>
    <w:rsid w:val="239860B4"/>
    <w:rsid w:val="26A66C72"/>
    <w:rsid w:val="298605CB"/>
    <w:rsid w:val="2B4B6C57"/>
    <w:rsid w:val="2CEF036C"/>
    <w:rsid w:val="308B0D67"/>
    <w:rsid w:val="32A31C4C"/>
    <w:rsid w:val="32B53CA7"/>
    <w:rsid w:val="33CD2241"/>
    <w:rsid w:val="34967CFD"/>
    <w:rsid w:val="380729ED"/>
    <w:rsid w:val="39C2416B"/>
    <w:rsid w:val="3B744E3E"/>
    <w:rsid w:val="3DC91A1B"/>
    <w:rsid w:val="3F235BB1"/>
    <w:rsid w:val="3F544847"/>
    <w:rsid w:val="3F663581"/>
    <w:rsid w:val="41DD4BAA"/>
    <w:rsid w:val="42A44BF6"/>
    <w:rsid w:val="42DD4FC2"/>
    <w:rsid w:val="4571549B"/>
    <w:rsid w:val="471274FD"/>
    <w:rsid w:val="47C06F1E"/>
    <w:rsid w:val="49717ADD"/>
    <w:rsid w:val="4A51609B"/>
    <w:rsid w:val="4C194D3B"/>
    <w:rsid w:val="4CBD3A2C"/>
    <w:rsid w:val="4D304C6C"/>
    <w:rsid w:val="4DFE508A"/>
    <w:rsid w:val="4F2A6A41"/>
    <w:rsid w:val="500373A2"/>
    <w:rsid w:val="519B37D2"/>
    <w:rsid w:val="532A5284"/>
    <w:rsid w:val="53AD746D"/>
    <w:rsid w:val="561769D4"/>
    <w:rsid w:val="58D844B0"/>
    <w:rsid w:val="59C467D1"/>
    <w:rsid w:val="5F0218E6"/>
    <w:rsid w:val="5F4A1A8C"/>
    <w:rsid w:val="60075621"/>
    <w:rsid w:val="602001C2"/>
    <w:rsid w:val="60CE32E1"/>
    <w:rsid w:val="64C00985"/>
    <w:rsid w:val="65225D26"/>
    <w:rsid w:val="65DB5CBA"/>
    <w:rsid w:val="674E6C15"/>
    <w:rsid w:val="67636EEB"/>
    <w:rsid w:val="697609B2"/>
    <w:rsid w:val="69F4671F"/>
    <w:rsid w:val="6B24211D"/>
    <w:rsid w:val="6CBF282C"/>
    <w:rsid w:val="72F91988"/>
    <w:rsid w:val="73335BEE"/>
    <w:rsid w:val="734B3BFA"/>
    <w:rsid w:val="73753308"/>
    <w:rsid w:val="74681C20"/>
    <w:rsid w:val="757D1A1C"/>
    <w:rsid w:val="78726082"/>
    <w:rsid w:val="79442C5B"/>
    <w:rsid w:val="7BB011B5"/>
    <w:rsid w:val="7BD15BE3"/>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6">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8">
    <w:name w:val="font21"/>
    <w:basedOn w:val="7"/>
    <w:qFormat/>
    <w:uiPriority w:val="0"/>
    <w:rPr>
      <w:rFonts w:hint="default" w:ascii="Calibri" w:hAnsi="Calibri" w:cs="Calibri"/>
      <w:color w:val="000000"/>
      <w:sz w:val="22"/>
      <w:szCs w:val="22"/>
      <w:u w:val="none"/>
    </w:rPr>
  </w:style>
  <w:style w:type="character" w:customStyle="1" w:styleId="9">
    <w:name w:val="font6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4.svg"/><Relationship Id="rId23" Type="http://schemas.openxmlformats.org/officeDocument/2006/relationships/image" Target="media/image13.png"/><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34241;&#22478;&#21306;&#31532;&#20116;&#20013;&#23398;\2021&#24180;&#24230;&#37096;&#38376;&#20915;&#31639;&#25253;&#34920;&#35828;&#26126;&#38468;&#34920;&#65288;6014&#34241;&#22478;&#21306;&#31532;&#20116;&#20013;&#23398;&#65289;(1).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34241;&#22478;&#21306;&#31532;&#20116;&#20013;&#23398;\2021&#24180;&#24230;&#37096;&#38376;&#20915;&#31639;&#25253;&#34920;&#35828;&#26126;&#38468;&#34920;&#65288;6014&#34241;&#22478;&#21306;&#31532;&#20116;&#20013;&#23398;&#65289;(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收支变化总表</a:t>
            </a:r>
          </a:p>
        </c:rich>
      </c:tx>
      <c:layout/>
      <c:overlay val="0"/>
      <c:spPr>
        <a:noFill/>
        <a:ln>
          <a:noFill/>
        </a:ln>
        <a:effectLst/>
      </c:spPr>
    </c:title>
    <c:autoTitleDeleted val="0"/>
    <c:plotArea>
      <c:layout>
        <c:manualLayout>
          <c:layoutTarget val="inner"/>
          <c:xMode val="edge"/>
          <c:yMode val="edge"/>
          <c:x val="0.209335324869305"/>
          <c:y val="0.310911808669656"/>
          <c:w val="0.716728902165795"/>
          <c:h val="0.534529147982063"/>
        </c:manualLayout>
      </c:layout>
      <c:barChart>
        <c:barDir val="col"/>
        <c:grouping val="clustered"/>
        <c:varyColors val="0"/>
        <c:ser>
          <c:idx val="0"/>
          <c:order val="0"/>
          <c:spPr>
            <a:solidFill>
              <a:schemeClr val="accent1"/>
            </a:solidFill>
            <a:ln>
              <a:noFill/>
            </a:ln>
            <a:effectLst/>
          </c:spPr>
          <c:invertIfNegative val="0"/>
          <c:dLbls>
            <c:delete val="1"/>
          </c:dLbls>
          <c:cat>
            <c:strRef>
              <c:f>'[2021年度部门决算报表说明附表（6014藁城区第五中学）(1).xls]Sheet1'!$A$1:$B$1</c:f>
              <c:strCache>
                <c:ptCount val="2"/>
                <c:pt idx="0">
                  <c:v>2020年</c:v>
                </c:pt>
                <c:pt idx="1">
                  <c:v>2021年</c:v>
                </c:pt>
              </c:strCache>
            </c:strRef>
          </c:cat>
          <c:val>
            <c:numRef>
              <c:f>'[2021年度部门决算报表说明附表（6014藁城区第五中学）(1).xls]Sheet1'!$A$2:$B$2</c:f>
              <c:numCache>
                <c:formatCode>General</c:formatCode>
                <c:ptCount val="2"/>
                <c:pt idx="0">
                  <c:v>940.4</c:v>
                </c:pt>
                <c:pt idx="1">
                  <c:v>817.27</c:v>
                </c:pt>
              </c:numCache>
            </c:numRef>
          </c:val>
        </c:ser>
        <c:dLbls>
          <c:showLegendKey val="0"/>
          <c:showVal val="0"/>
          <c:showCatName val="0"/>
          <c:showSerName val="0"/>
          <c:showPercent val="0"/>
          <c:showBubbleSize val="0"/>
        </c:dLbls>
        <c:gapWidth val="219"/>
        <c:overlap val="-27"/>
        <c:axId val="648850548"/>
        <c:axId val="758088078"/>
      </c:barChart>
      <c:catAx>
        <c:axId val="648850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8088078"/>
        <c:crosses val="autoZero"/>
        <c:auto val="1"/>
        <c:lblAlgn val="ctr"/>
        <c:lblOffset val="100"/>
        <c:noMultiLvlLbl val="0"/>
      </c:catAx>
      <c:valAx>
        <c:axId val="75808807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488505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与</a:t>
            </a:r>
            <a:r>
              <a:rPr lang="en-US" altLang="zh-CN"/>
              <a:t>2020</a:t>
            </a:r>
            <a:r>
              <a:rPr altLang="en-US"/>
              <a:t>年相比</a:t>
            </a:r>
            <a:r>
              <a:t>收支变化表</a:t>
            </a:r>
          </a:p>
        </c:rich>
      </c:tx>
      <c:layout/>
      <c:overlay val="0"/>
      <c:spPr>
        <a:noFill/>
        <a:ln>
          <a:noFill/>
        </a:ln>
        <a:effectLst/>
      </c:spPr>
    </c:title>
    <c:autoTitleDeleted val="0"/>
    <c:plotArea>
      <c:layout>
        <c:manualLayout>
          <c:layoutTarget val="inner"/>
          <c:xMode val="edge"/>
          <c:yMode val="edge"/>
          <c:x val="0.209335324869305"/>
          <c:y val="0.310911808669656"/>
          <c:w val="0.716728902165795"/>
          <c:h val="0.534529147982063"/>
        </c:manualLayout>
      </c:layout>
      <c:barChart>
        <c:barDir val="col"/>
        <c:grouping val="clustered"/>
        <c:varyColors val="0"/>
        <c:ser>
          <c:idx val="0"/>
          <c:order val="0"/>
          <c:spPr>
            <a:solidFill>
              <a:schemeClr val="accent1"/>
            </a:solidFill>
            <a:ln>
              <a:noFill/>
            </a:ln>
            <a:effectLst/>
          </c:spPr>
          <c:invertIfNegative val="0"/>
          <c:dLbls>
            <c:delete val="1"/>
          </c:dLbls>
          <c:cat>
            <c:strRef>
              <c:f>'[2021年度部门决算报表说明附表（6014藁城区第五中学）(1).xls]Sheet1'!$A$1:$B$1</c:f>
              <c:strCache>
                <c:ptCount val="2"/>
                <c:pt idx="0">
                  <c:v>2020年</c:v>
                </c:pt>
                <c:pt idx="1">
                  <c:v>2021年</c:v>
                </c:pt>
              </c:strCache>
            </c:strRef>
          </c:cat>
          <c:val>
            <c:numRef>
              <c:f>'[2021年度部门决算报表说明附表（6014藁城区第五中学）(1).xls]Sheet1'!$A$2:$B$2</c:f>
              <c:numCache>
                <c:formatCode>General</c:formatCode>
                <c:ptCount val="2"/>
                <c:pt idx="0">
                  <c:v>940.4</c:v>
                </c:pt>
                <c:pt idx="1">
                  <c:v>817.27</c:v>
                </c:pt>
              </c:numCache>
            </c:numRef>
          </c:val>
        </c:ser>
        <c:dLbls>
          <c:showLegendKey val="0"/>
          <c:showVal val="0"/>
          <c:showCatName val="0"/>
          <c:showSerName val="0"/>
          <c:showPercent val="0"/>
          <c:showBubbleSize val="0"/>
        </c:dLbls>
        <c:gapWidth val="219"/>
        <c:overlap val="-27"/>
        <c:axId val="648850548"/>
        <c:axId val="758088078"/>
      </c:barChart>
      <c:catAx>
        <c:axId val="648850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8088078"/>
        <c:crosses val="autoZero"/>
        <c:auto val="1"/>
        <c:lblAlgn val="ctr"/>
        <c:lblOffset val="100"/>
        <c:noMultiLvlLbl val="0"/>
      </c:catAx>
      <c:valAx>
        <c:axId val="75808807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488505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22</Pages>
  <Words>6242</Words>
  <Characters>6691</Characters>
  <Lines>82</Lines>
  <Paragraphs>23</Paragraphs>
  <TotalTime>11</TotalTime>
  <ScaleCrop>false</ScaleCrop>
  <LinksUpToDate>false</LinksUpToDate>
  <CharactersWithSpaces>6739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就不告诉你</cp:lastModifiedBy>
  <cp:lastPrinted>2022-10-27T02:58:00Z</cp:lastPrinted>
  <dcterms:modified xsi:type="dcterms:W3CDTF">2023-07-25T09:43:56Z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AC3EAB28BC304B5B891613FB6418E20E</vt:lpwstr>
  </property>
</Properties>
</file>