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360014</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石家庄市藁城区第四中学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360014</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石家庄市藁城区第四中学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bookmarkStart w:id="0" w:name="_GoBack"/>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bookmarkEnd w:id="0"/>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eastAsia="zh-CN"/>
        </w:rPr>
        <w:t>单位</w:t>
      </w:r>
      <w:r>
        <w:rPr>
          <w:rFonts w:hint="eastAsia" w:ascii="黑体" w:eastAsia="黑体" w:cs="黑体"/>
          <w:b w:val="0"/>
          <w:bCs w:val="0"/>
          <w:kern w:val="0"/>
          <w:sz w:val="32"/>
          <w:szCs w:val="32"/>
        </w:rPr>
        <w:t>职责</w:t>
      </w:r>
    </w:p>
    <w:p>
      <w:pPr>
        <w:snapToGrid w:val="0"/>
        <w:spacing w:line="360" w:lineRule="auto"/>
        <w:ind w:firstLine="640" w:firstLineChars="200"/>
        <w:rPr>
          <w:rFonts w:hint="eastAsia" w:ascii="宋体" w:hAnsi="宋体"/>
          <w:sz w:val="32"/>
          <w:szCs w:val="32"/>
        </w:rPr>
      </w:pPr>
      <w:r>
        <w:rPr>
          <w:rFonts w:hint="eastAsia" w:ascii="宋体" w:hAnsi="宋体"/>
          <w:sz w:val="32"/>
          <w:szCs w:val="32"/>
        </w:rPr>
        <w:t>实施高级中学学历教育，促进基础教育发展，高级学历教育及相关社会范围。</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7"/>
        <w:tblpPr w:leftFromText="180" w:rightFromText="180" w:vertAnchor="text" w:horzAnchor="page" w:tblpXSpec="center" w:tblpY="521"/>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hint="default"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lang w:val="en-US" w:eastAsia="zh-CN"/>
              </w:rPr>
              <w:t>石家庄市藁城区第四中学</w:t>
            </w:r>
          </w:p>
        </w:tc>
        <w:tc>
          <w:tcPr>
            <w:tcW w:w="2445" w:type="dxa"/>
          </w:tcPr>
          <w:p>
            <w:pPr>
              <w:spacing w:line="560" w:lineRule="exact"/>
              <w:jc w:val="center"/>
              <w:rPr>
                <w:rFonts w:hint="default"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lang w:val="en-US" w:eastAsia="zh-CN"/>
              </w:rPr>
              <w:t>财政补助</w:t>
            </w:r>
            <w:r>
              <w:rPr>
                <w:rFonts w:hint="eastAsia" w:ascii="仿宋_GB2312" w:hAnsi="Calibri" w:eastAsia="仿宋_GB2312" w:cs="ArialUnicodeMS"/>
                <w:kern w:val="0"/>
                <w:sz w:val="28"/>
                <w:szCs w:val="28"/>
              </w:rPr>
              <w:t>事业单位</w:t>
            </w:r>
          </w:p>
        </w:tc>
        <w:tc>
          <w:tcPr>
            <w:tcW w:w="2665" w:type="dxa"/>
          </w:tcPr>
          <w:p>
            <w:pPr>
              <w:spacing w:line="560" w:lineRule="exact"/>
              <w:jc w:val="center"/>
              <w:rPr>
                <w:rFonts w:hint="default"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rPr>
              <w:t>财政拨款</w:t>
            </w:r>
          </w:p>
        </w:tc>
      </w:tr>
    </w:tbl>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jc w:val="both"/>
        <w:rPr>
          <w:rFonts w:ascii="Times New Roman" w:hAnsi="Times New Roman" w:eastAsia="黑体" w:cs="Times New Roman"/>
          <w:sz w:val="32"/>
          <w:szCs w:val="32"/>
        </w:rPr>
        <w:sectPr>
          <w:headerReference r:id="rId7" w:type="default"/>
          <w:pgSz w:w="11906" w:h="16838"/>
          <w:pgMar w:top="1134" w:right="1531" w:bottom="1208"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第二部分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109220</wp:posOffset>
            </wp:positionH>
            <wp:positionV relativeFrom="margin">
              <wp:posOffset>-182880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r>
        <w:rPr>
          <w:rFonts w:hint="eastAsia" w:eastAsia="黑体"/>
          <w:sz w:val="32"/>
          <w:szCs w:val="32"/>
        </w:rPr>
        <w:t xml:space="preserve">   </w:t>
      </w:r>
    </w:p>
    <w:p>
      <w:pPr>
        <w:widowControl/>
        <w:jc w:val="left"/>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ind w:firstLine="320" w:firstLineChars="100"/>
        <w:rPr>
          <w:rFonts w:hint="eastAsia" w:ascii="仿宋_GB2312" w:hAnsi="Times New Roman" w:eastAsia="仿宋_GB2312" w:cs="DengXian-Regular"/>
          <w:sz w:val="32"/>
          <w:szCs w:val="32"/>
        </w:rPr>
      </w:pPr>
      <w:r>
        <w:rPr>
          <w:rFonts w:hint="eastAsia" w:ascii="黑体" w:hAnsi="Calibri" w:eastAsia="黑体" w:cs="Times New Roman"/>
          <w:sz w:val="32"/>
          <w:szCs w:val="32"/>
          <w:lang w:val="en-US" w:eastAsia="zh-CN"/>
        </w:rPr>
        <w:t>一</w:t>
      </w:r>
      <w:r>
        <w:rPr>
          <w:rFonts w:hint="eastAsia" w:ascii="黑体" w:hAnsi="Calibri" w:eastAsia="黑体" w:cs="Times New Roman"/>
          <w:sz w:val="32"/>
          <w:szCs w:val="32"/>
        </w:rPr>
        <w:t>、收入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2021年度收、支总计（含结转和结余）1149.02万元。与2020年度决算相比，收支各减少</w:t>
      </w:r>
      <w:r>
        <w:rPr>
          <w:rFonts w:hint="eastAsia" w:ascii="仿宋_GB2312" w:hAnsi="Times New Roman" w:eastAsia="仿宋_GB2312" w:cs="DengXian-Regular"/>
          <w:sz w:val="32"/>
          <w:szCs w:val="32"/>
          <w:lang w:val="en-US" w:eastAsia="zh-CN"/>
        </w:rPr>
        <w:t>38</w:t>
      </w:r>
      <w:r>
        <w:rPr>
          <w:rFonts w:hint="eastAsia" w:ascii="仿宋_GB2312" w:hAnsi="Times New Roman" w:eastAsia="仿宋_GB2312" w:cs="DengXian-Regular"/>
          <w:sz w:val="32"/>
          <w:szCs w:val="32"/>
        </w:rPr>
        <w:t>万元，下降</w:t>
      </w:r>
      <w:r>
        <w:rPr>
          <w:rFonts w:hint="eastAsia" w:ascii="仿宋_GB2312" w:hAnsi="Times New Roman" w:eastAsia="仿宋_GB2312" w:cs="DengXian-Regular"/>
          <w:sz w:val="32"/>
          <w:szCs w:val="32"/>
          <w:lang w:val="en-US" w:eastAsia="zh-CN"/>
        </w:rPr>
        <w:t>3.2</w:t>
      </w:r>
      <w:r>
        <w:rPr>
          <w:rFonts w:hint="eastAsia" w:ascii="仿宋_GB2312" w:hAnsi="Times New Roman" w:eastAsia="仿宋_GB2312" w:cs="DengXian-Regular"/>
          <w:sz w:val="32"/>
          <w:szCs w:val="32"/>
        </w:rPr>
        <w:t>%，主要原因是主要是</w:t>
      </w:r>
      <w:r>
        <w:rPr>
          <w:rFonts w:hint="eastAsia" w:ascii="仿宋_GB2312" w:hAnsi="Times New Roman" w:eastAsia="仿宋_GB2312" w:cs="DengXian-Regular"/>
          <w:sz w:val="32"/>
          <w:szCs w:val="32"/>
          <w:lang w:val="en-US" w:eastAsia="zh-CN"/>
        </w:rPr>
        <w:t>人员退休及人员调出及维修费用的减少</w:t>
      </w:r>
      <w:r>
        <w:rPr>
          <w:rFonts w:hint="eastAsia" w:ascii="仿宋_GB2312" w:hAnsi="Times New Roman" w:eastAsia="仿宋_GB2312" w:cs="DengXian-Regular"/>
          <w:sz w:val="32"/>
          <w:szCs w:val="32"/>
        </w:rPr>
        <w:t>。</w:t>
      </w:r>
    </w:p>
    <w:p>
      <w:pPr>
        <w:adjustRightInd w:val="0"/>
        <w:snapToGrid w:val="0"/>
        <w:spacing w:line="580" w:lineRule="exact"/>
        <w:ind w:firstLine="420" w:firstLineChars="200"/>
      </w:pPr>
      <w:r>
        <w:drawing>
          <wp:anchor distT="0" distB="0" distL="114300" distR="114300" simplePos="0" relativeHeight="251672576" behindDoc="0" locked="0" layoutInCell="1" allowOverlap="1">
            <wp:simplePos x="0" y="0"/>
            <wp:positionH relativeFrom="column">
              <wp:posOffset>705485</wp:posOffset>
            </wp:positionH>
            <wp:positionV relativeFrom="paragraph">
              <wp:posOffset>21590</wp:posOffset>
            </wp:positionV>
            <wp:extent cx="3763645" cy="1976755"/>
            <wp:effectExtent l="0" t="0" r="8255" b="444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rcRect l="37492" t="38992" r="36645" b="31671"/>
                    <a:stretch>
                      <a:fillRect/>
                    </a:stretch>
                  </pic:blipFill>
                  <pic:spPr>
                    <a:xfrm>
                      <a:off x="0" y="0"/>
                      <a:ext cx="3763645" cy="1976755"/>
                    </a:xfrm>
                    <a:prstGeom prst="round2SameRect">
                      <a:avLst/>
                    </a:prstGeom>
                    <a:noFill/>
                    <a:ln>
                      <a:noFill/>
                    </a:ln>
                  </pic:spPr>
                </pic:pic>
              </a:graphicData>
            </a:graphic>
          </wp:anchor>
        </w:drawing>
      </w:r>
    </w:p>
    <w:p>
      <w:pPr>
        <w:adjustRightInd w:val="0"/>
        <w:snapToGrid w:val="0"/>
        <w:spacing w:line="580" w:lineRule="exact"/>
        <w:ind w:firstLine="420" w:firstLineChars="200"/>
      </w:pPr>
    </w:p>
    <w:p>
      <w:pPr>
        <w:adjustRightInd w:val="0"/>
        <w:snapToGrid w:val="0"/>
        <w:spacing w:line="580" w:lineRule="exact"/>
        <w:ind w:firstLine="420" w:firstLineChars="200"/>
      </w:pPr>
    </w:p>
    <w:p>
      <w:pPr>
        <w:adjustRightInd w:val="0"/>
        <w:snapToGrid w:val="0"/>
        <w:spacing w:line="580" w:lineRule="exact"/>
        <w:ind w:firstLine="420" w:firstLineChars="200"/>
      </w:pPr>
    </w:p>
    <w:p>
      <w:pPr>
        <w:adjustRightInd w:val="0"/>
        <w:snapToGrid w:val="0"/>
        <w:spacing w:line="580" w:lineRule="exact"/>
        <w:ind w:firstLine="420" w:firstLineChars="200"/>
      </w:pPr>
    </w:p>
    <w:p>
      <w:pPr>
        <w:adjustRightInd w:val="0"/>
        <w:snapToGrid w:val="0"/>
        <w:spacing w:line="580" w:lineRule="exact"/>
        <w:ind w:firstLine="420" w:firstLineChars="200"/>
      </w:pPr>
    </w:p>
    <w:p>
      <w:pPr>
        <w:adjustRightInd w:val="0"/>
        <w:snapToGrid w:val="0"/>
        <w:spacing w:line="580" w:lineRule="exact"/>
        <w:ind w:firstLine="420" w:firstLineChars="200"/>
        <w:rPr>
          <w:rFonts w:hint="eastAsia"/>
        </w:rPr>
      </w:pP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lang w:val="en-US" w:eastAsia="zh-CN"/>
        </w:rPr>
        <w:t>二、</w:t>
      </w:r>
      <w:r>
        <w:rPr>
          <w:rFonts w:hint="eastAsia" w:ascii="黑体" w:hAnsi="Calibri" w:eastAsia="黑体" w:cs="Times New Roman"/>
          <w:sz w:val="32"/>
          <w:szCs w:val="32"/>
        </w:rPr>
        <w:t>收入决算情况说明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2021年度收入合计1149.02万元，其中：财政拨款收入1149.02万元，占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2021年度支出合计1149.02万元，其中：基本支出1149.02万元，占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2021年度财政拨款本年收入1149.02万元,比2020年度减少</w:t>
      </w:r>
      <w:r>
        <w:rPr>
          <w:rFonts w:hint="eastAsia" w:ascii="仿宋_GB2312" w:hAnsi="Times New Roman" w:eastAsia="仿宋_GB2312" w:cs="DengXian-Regular"/>
          <w:sz w:val="32"/>
          <w:szCs w:val="32"/>
          <w:lang w:val="en-US" w:eastAsia="zh-CN"/>
        </w:rPr>
        <w:t>38</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3.3</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主要是</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人员退休及人员调出及维修费用的减少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1149.02</w:t>
      </w:r>
      <w:r>
        <w:rPr>
          <w:rFonts w:hint="eastAsia" w:ascii="仿宋_GB2312" w:hAnsi="Times New Roman" w:eastAsia="仿宋_GB2312" w:cs="DengXian-Regular"/>
          <w:sz w:val="32"/>
          <w:szCs w:val="32"/>
        </w:rPr>
        <w:t>万元，减少</w:t>
      </w:r>
      <w:r>
        <w:rPr>
          <w:rFonts w:hint="eastAsia" w:ascii="仿宋_GB2312" w:hAnsi="Times New Roman" w:eastAsia="仿宋_GB2312" w:cs="DengXian-Regular"/>
          <w:sz w:val="32"/>
          <w:szCs w:val="32"/>
          <w:lang w:val="en-US" w:eastAsia="zh-CN"/>
        </w:rPr>
        <w:t>38</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3.2</w:t>
      </w:r>
      <w:r>
        <w:rPr>
          <w:rFonts w:hint="eastAsia" w:ascii="仿宋_GB2312" w:hAnsi="Times New Roman" w:eastAsia="仿宋_GB2312" w:cs="DengXian-Regular"/>
          <w:sz w:val="32"/>
          <w:szCs w:val="32"/>
        </w:rPr>
        <w:t>%，主要是主要是</w:t>
      </w:r>
      <w:r>
        <w:rPr>
          <w:rFonts w:hint="eastAsia" w:ascii="仿宋_GB2312" w:hAnsi="Times New Roman" w:eastAsia="仿宋_GB2312" w:cs="DengXian-Regular"/>
          <w:sz w:val="32"/>
          <w:szCs w:val="32"/>
          <w:lang w:val="en-US" w:eastAsia="zh-CN"/>
        </w:rPr>
        <w:t>人员退休及人员调出及维修费用的减少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一般公共预算财政拨款本年收入1149.02万元，比上年减少</w:t>
      </w:r>
      <w:r>
        <w:rPr>
          <w:rFonts w:hint="eastAsia" w:ascii="仿宋_GB2312" w:hAnsi="Times New Roman" w:eastAsia="仿宋_GB2312" w:cs="DengXian-Regular"/>
          <w:sz w:val="32"/>
          <w:szCs w:val="32"/>
          <w:lang w:val="en-US" w:eastAsia="zh-CN"/>
        </w:rPr>
        <w:t>38</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人员退休</w:t>
      </w:r>
      <w:r>
        <w:rPr>
          <w:rFonts w:hint="eastAsia" w:ascii="仿宋_GB2312" w:hAnsi="Times New Roman" w:eastAsia="仿宋_GB2312" w:cs="DengXian-Regular"/>
          <w:sz w:val="32"/>
          <w:szCs w:val="32"/>
        </w:rPr>
        <w:t>；本年支出1149.02万元，比上年减少</w:t>
      </w:r>
      <w:r>
        <w:rPr>
          <w:rFonts w:hint="eastAsia" w:ascii="仿宋_GB2312" w:hAnsi="Times New Roman" w:eastAsia="仿宋_GB2312" w:cs="DengXian-Regular"/>
          <w:sz w:val="32"/>
          <w:szCs w:val="32"/>
          <w:lang w:val="en-US" w:eastAsia="zh-CN"/>
        </w:rPr>
        <w:t>38</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3.2</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人员退休及人员调出及维修费用的减少</w:t>
      </w:r>
      <w:r>
        <w:rPr>
          <w:rFonts w:hint="eastAsia" w:ascii="仿宋_GB2312" w:hAnsi="Times New Roman" w:eastAsia="仿宋_GB2312" w:cs="DengXian-Regular"/>
          <w:sz w:val="32"/>
          <w:szCs w:val="32"/>
        </w:rPr>
        <w:t>。</w:t>
      </w:r>
    </w:p>
    <w:p>
      <w:pPr>
        <w:adjustRightInd w:val="0"/>
        <w:snapToGrid w:val="0"/>
        <w:spacing w:line="580" w:lineRule="exact"/>
        <w:ind w:firstLine="420" w:firstLineChars="200"/>
        <w:rPr>
          <w:rFonts w:hint="eastAsia" w:ascii="仿宋_GB2312" w:hAnsi="Times New Roman" w:eastAsia="仿宋_GB2312" w:cs="DengXian-Regular"/>
          <w:sz w:val="32"/>
          <w:szCs w:val="32"/>
        </w:rPr>
      </w:pPr>
      <w:r>
        <w:drawing>
          <wp:anchor distT="0" distB="0" distL="114300" distR="114300" simplePos="0" relativeHeight="251673600" behindDoc="0" locked="0" layoutInCell="1" allowOverlap="1">
            <wp:simplePos x="0" y="0"/>
            <wp:positionH relativeFrom="column">
              <wp:posOffset>705485</wp:posOffset>
            </wp:positionH>
            <wp:positionV relativeFrom="paragraph">
              <wp:posOffset>21590</wp:posOffset>
            </wp:positionV>
            <wp:extent cx="3763645" cy="1976755"/>
            <wp:effectExtent l="0" t="0" r="8255" b="444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1"/>
                    <a:srcRect l="37492" t="38992" r="36645" b="31671"/>
                    <a:stretch>
                      <a:fillRect/>
                    </a:stretch>
                  </pic:blipFill>
                  <pic:spPr>
                    <a:xfrm>
                      <a:off x="0" y="0"/>
                      <a:ext cx="3763645" cy="1976755"/>
                    </a:xfrm>
                    <a:prstGeom prst="round2SameRect">
                      <a:avLst/>
                    </a:prstGeom>
                    <a:noFill/>
                    <a:ln>
                      <a:noFill/>
                    </a:ln>
                  </pic:spPr>
                </pic:pic>
              </a:graphicData>
            </a:graphic>
          </wp:anchor>
        </w:drawing>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snapToGrid w:val="0"/>
        <w:spacing w:line="580" w:lineRule="exact"/>
        <w:ind w:firstLine="643" w:firstLineChars="200"/>
        <w:rPr>
          <w:rFonts w:hint="eastAsia" w:ascii="楷体_GB2312" w:hAnsi="Times New Roman" w:eastAsia="楷体_GB2312" w:cs="DengXian-Bold"/>
          <w:b/>
          <w:bCs/>
          <w:sz w:val="32"/>
          <w:szCs w:val="32"/>
        </w:rPr>
      </w:pPr>
    </w:p>
    <w:p>
      <w:pPr>
        <w:snapToGrid w:val="0"/>
        <w:spacing w:line="580" w:lineRule="exact"/>
        <w:ind w:firstLine="643" w:firstLineChars="200"/>
        <w:rPr>
          <w:rFonts w:hint="eastAsia" w:ascii="楷体_GB2312" w:hAnsi="Times New Roman" w:eastAsia="楷体_GB2312" w:cs="DengXian-Bold"/>
          <w:b/>
          <w:bCs/>
          <w:sz w:val="32"/>
          <w:szCs w:val="32"/>
        </w:rPr>
      </w:pPr>
    </w:p>
    <w:p>
      <w:pPr>
        <w:snapToGrid w:val="0"/>
        <w:spacing w:line="580" w:lineRule="exact"/>
        <w:ind w:firstLine="643" w:firstLineChars="200"/>
        <w:rPr>
          <w:rFonts w:hint="eastAsia" w:ascii="楷体_GB2312" w:hAnsi="Times New Roman" w:eastAsia="楷体_GB2312" w:cs="DengXian-Bold"/>
          <w:b/>
          <w:bCs/>
          <w:sz w:val="32"/>
          <w:szCs w:val="32"/>
        </w:rPr>
      </w:pPr>
    </w:p>
    <w:p>
      <w:pPr>
        <w:snapToGrid w:val="0"/>
        <w:spacing w:line="580" w:lineRule="exact"/>
        <w:ind w:firstLine="643" w:firstLineChars="200"/>
        <w:rPr>
          <w:rFonts w:hint="eastAsia" w:ascii="楷体_GB2312" w:hAnsi="Times New Roman" w:eastAsia="楷体_GB2312" w:cs="DengXian-Bold"/>
          <w:b/>
          <w:bCs/>
          <w:sz w:val="32"/>
          <w:szCs w:val="32"/>
        </w:rPr>
      </w:pP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2021年度财政拨款本年收入1149.02万元，完成年初预算的</w:t>
      </w:r>
      <w:r>
        <w:rPr>
          <w:rFonts w:hint="eastAsia" w:ascii="仿宋_GB2312" w:hAnsi="Times New Roman" w:eastAsia="仿宋_GB2312" w:cs="DengXian-Regular"/>
          <w:sz w:val="32"/>
          <w:szCs w:val="32"/>
          <w:lang w:val="en-US" w:eastAsia="zh-CN"/>
        </w:rPr>
        <w:t>91.22%</w:t>
      </w:r>
      <w:r>
        <w:rPr>
          <w:rFonts w:hint="eastAsia" w:ascii="仿宋_GB2312" w:hAnsi="Times New Roman" w:eastAsia="仿宋_GB2312" w:cs="DengXian-Regular"/>
          <w:sz w:val="32"/>
          <w:szCs w:val="32"/>
        </w:rPr>
        <w:t>,比年初预算增加减少</w:t>
      </w:r>
      <w:r>
        <w:rPr>
          <w:rFonts w:hint="eastAsia" w:ascii="仿宋_GB2312" w:hAnsi="Times New Roman" w:eastAsia="仿宋_GB2312" w:cs="DengXian-Regular"/>
          <w:sz w:val="32"/>
          <w:szCs w:val="32"/>
          <w:lang w:val="en-US" w:eastAsia="zh-CN"/>
        </w:rPr>
        <w:t>110.5</w:t>
      </w:r>
      <w:r>
        <w:rPr>
          <w:rFonts w:hint="eastAsia" w:ascii="仿宋_GB2312" w:hAnsi="Times New Roman" w:eastAsia="仿宋_GB2312" w:cs="DengXian-Regular"/>
          <w:sz w:val="32"/>
          <w:szCs w:val="32"/>
        </w:rPr>
        <w:t>万元，决算数小于预算数主要原因是要是</w:t>
      </w:r>
      <w:r>
        <w:rPr>
          <w:rFonts w:hint="eastAsia" w:ascii="仿宋_GB2312" w:hAnsi="Times New Roman" w:eastAsia="仿宋_GB2312" w:cs="DengXian-Regular"/>
          <w:sz w:val="32"/>
          <w:szCs w:val="32"/>
          <w:lang w:val="en-US" w:eastAsia="zh-CN"/>
        </w:rPr>
        <w:t>人员退休及人员调出及维修费用的减少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本年支出1149.02万元，完成年初预算的</w:t>
      </w:r>
      <w:r>
        <w:rPr>
          <w:rFonts w:hint="eastAsia" w:ascii="仿宋_GB2312" w:hAnsi="Times New Roman" w:eastAsia="仿宋_GB2312" w:cs="DengXian-Regular"/>
          <w:sz w:val="32"/>
          <w:szCs w:val="32"/>
          <w:lang w:val="en-US" w:eastAsia="zh-CN"/>
        </w:rPr>
        <w:t>91.21</w:t>
      </w:r>
      <w:r>
        <w:rPr>
          <w:rFonts w:hint="eastAsia" w:ascii="仿宋_GB2312" w:hAnsi="Times New Roman" w:eastAsia="仿宋_GB2312" w:cs="DengXian-Regular"/>
          <w:sz w:val="32"/>
          <w:szCs w:val="32"/>
        </w:rPr>
        <w:t>%,比年初预减少</w:t>
      </w:r>
      <w:r>
        <w:rPr>
          <w:rFonts w:hint="eastAsia" w:ascii="仿宋_GB2312" w:hAnsi="Times New Roman" w:eastAsia="仿宋_GB2312" w:cs="DengXian-Regular"/>
          <w:sz w:val="32"/>
          <w:szCs w:val="32"/>
          <w:lang w:val="en-US" w:eastAsia="zh-CN"/>
        </w:rPr>
        <w:t>110.5</w:t>
      </w:r>
      <w:r>
        <w:rPr>
          <w:rFonts w:hint="eastAsia" w:ascii="仿宋_GB2312" w:hAnsi="Times New Roman" w:eastAsia="仿宋_GB2312" w:cs="DengXian-Regular"/>
          <w:sz w:val="32"/>
          <w:szCs w:val="32"/>
        </w:rPr>
        <w:t>万元，决算数小于预算数主要原因是主要是主要原因是</w:t>
      </w:r>
      <w:r>
        <w:rPr>
          <w:rFonts w:hint="eastAsia" w:ascii="仿宋_GB2312" w:hAnsi="Times New Roman" w:eastAsia="仿宋_GB2312" w:cs="DengXian-Regular"/>
          <w:sz w:val="32"/>
          <w:szCs w:val="32"/>
          <w:lang w:val="en-US" w:eastAsia="zh-CN"/>
        </w:rPr>
        <w:t>人员退休及人员调出及维修费用的减少</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hint="default" w:ascii="仿宋_GB2312" w:hAnsi="Times New Roman" w:eastAsia="仿宋_GB2312" w:cs="DengXian-Regular"/>
          <w:sz w:val="32"/>
          <w:szCs w:val="32"/>
          <w:lang w:val="en-US"/>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91.2</w:t>
      </w:r>
      <w:r>
        <w:rPr>
          <w:rFonts w:hint="eastAsia" w:ascii="仿宋_GB2312" w:hAnsi="Times New Roman" w:eastAsia="仿宋_GB2312" w:cs="DengXian-Regular"/>
          <w:sz w:val="32"/>
          <w:szCs w:val="32"/>
        </w:rPr>
        <w:t>%，比年初预算增加减少</w:t>
      </w:r>
      <w:r>
        <w:rPr>
          <w:rFonts w:hint="eastAsia" w:ascii="仿宋_GB2312" w:hAnsi="Times New Roman" w:eastAsia="仿宋_GB2312" w:cs="DengXian-Regular"/>
          <w:sz w:val="32"/>
          <w:szCs w:val="32"/>
          <w:lang w:val="en-US" w:eastAsia="zh-CN"/>
        </w:rPr>
        <w:t>110.5</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人员退休及人员调出及维修费用的减少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91.2</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110.2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人员退休及人员调出及维修费用的减少.</w:t>
      </w:r>
    </w:p>
    <w:p>
      <w:pPr>
        <w:numPr>
          <w:ilvl w:val="0"/>
          <w:numId w:val="1"/>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 年度财政拨款支出1149.02万元，主要用于以下方面教育（类）支出</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包括人员经费及公用经费两个大项</w:t>
      </w:r>
      <w:r>
        <w:rPr>
          <w:rFonts w:hint="eastAsia" w:ascii="仿宋_GB2312" w:hAnsi="Times New Roman" w:eastAsia="仿宋_GB2312" w:cs="DengXian-Regular"/>
          <w:sz w:val="32"/>
          <w:szCs w:val="32"/>
        </w:rPr>
        <w:t>1149.02万元，占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960" w:firstLineChars="3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2021年度财政拨款基本支出1149.02万元，其中：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w:t>
      </w:r>
      <w:r>
        <w:rPr>
          <w:rFonts w:hint="eastAsia" w:ascii="仿宋_GB2312" w:hAnsi="Times New Roman" w:eastAsia="仿宋_GB2312" w:cs="DengXian-Regular"/>
          <w:sz w:val="32"/>
          <w:szCs w:val="32"/>
          <w:lang w:val="en-US" w:eastAsia="zh-CN"/>
        </w:rPr>
        <w:t>1141.512</w:t>
      </w:r>
      <w:r>
        <w:rPr>
          <w:rFonts w:hint="eastAsia" w:ascii="仿宋_GB2312" w:hAnsi="Times New Roman" w:eastAsia="仿宋_GB2312" w:cs="DengXian-Regular"/>
          <w:sz w:val="32"/>
          <w:szCs w:val="32"/>
        </w:rPr>
        <w:t>万元，主要包括基本工资、津贴补贴、奖金、绩效工资、机关事业单位基本养老保险缴费、职业年金缴费、职工基本医疗保险缴费、公务员医疗补助缴费、住房公积金、医疗费、其他社会保障缴费、其他工资福利支出、其他对个人和家庭的补助支出。</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公用经费</w:t>
      </w:r>
      <w:r>
        <w:rPr>
          <w:rFonts w:hint="eastAsia" w:ascii="仿宋_GB2312" w:hAnsi="Times New Roman" w:eastAsia="仿宋_GB2312" w:cs="DengXian-Regular"/>
          <w:sz w:val="32"/>
          <w:szCs w:val="32"/>
          <w:lang w:val="en-US" w:eastAsia="zh-CN"/>
        </w:rPr>
        <w:t>7.508</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主要包括</w:t>
      </w:r>
      <w:r>
        <w:rPr>
          <w:rFonts w:hint="eastAsia" w:ascii="仿宋_GB2312" w:hAnsi="Times New Roman" w:eastAsia="仿宋_GB2312" w:cs="DengXian-Regular"/>
          <w:sz w:val="32"/>
          <w:szCs w:val="32"/>
        </w:rPr>
        <w:t>差旅费</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工会经费、福利费</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培训费</w:t>
      </w:r>
      <w:r>
        <w:rPr>
          <w:rFonts w:hint="eastAsia" w:ascii="仿宋_GB2312" w:hAnsi="Times New Roman" w:eastAsia="仿宋_GB2312" w:cs="DengXian-Regular"/>
          <w:sz w:val="32"/>
          <w:szCs w:val="32"/>
          <w:lang w:eastAsia="zh-CN"/>
        </w:rPr>
        <w:t>。</w:t>
      </w:r>
    </w:p>
    <w:p>
      <w:pPr>
        <w:keepNext/>
        <w:keepLines/>
        <w:numPr>
          <w:ilvl w:val="0"/>
          <w:numId w:val="2"/>
        </w:numPr>
        <w:snapToGrid w:val="0"/>
        <w:spacing w:line="580" w:lineRule="exact"/>
        <w:ind w:firstLine="640" w:firstLineChars="200"/>
        <w:outlineLvl w:val="1"/>
        <w:rPr>
          <w:rFonts w:hint="eastAsia" w:ascii="黑体" w:hAnsi="Calibri" w:eastAsia="黑体" w:cs="Times New Roman"/>
          <w:sz w:val="32"/>
          <w:szCs w:val="32"/>
        </w:rPr>
      </w:pPr>
      <w:r>
        <w:rPr>
          <w:rFonts w:hint="eastAsia" w:ascii="黑体" w:hAnsi="Calibri" w:eastAsia="黑体" w:cs="Times New Roman"/>
          <w:sz w:val="32"/>
          <w:szCs w:val="32"/>
        </w:rPr>
        <w:t>一般公共预算“三公” 经费支出决算情况说明</w:t>
      </w:r>
    </w:p>
    <w:p>
      <w:pPr>
        <w:keepNext/>
        <w:keepLines/>
        <w:numPr>
          <w:ilvl w:val="0"/>
          <w:numId w:val="0"/>
        </w:numPr>
        <w:snapToGrid w:val="0"/>
        <w:spacing w:line="580" w:lineRule="exact"/>
        <w:ind w:firstLine="1280" w:firstLineChars="400"/>
        <w:jc w:val="left"/>
        <w:outlineLvl w:val="1"/>
        <w:rPr>
          <w:rFonts w:hint="default" w:ascii="黑体" w:hAnsi="Calibri" w:eastAsia="黑体" w:cs="Times New Roman"/>
          <w:sz w:val="32"/>
          <w:szCs w:val="32"/>
          <w:lang w:val="en-US" w:eastAsia="zh-CN"/>
        </w:rPr>
      </w:pPr>
      <w:r>
        <w:rPr>
          <w:rFonts w:hint="eastAsia" w:ascii="黑体" w:hAnsi="Calibri" w:eastAsia="黑体" w:cs="Times New Roman"/>
          <w:sz w:val="32"/>
          <w:szCs w:val="32"/>
          <w:lang w:val="en-US" w:eastAsia="zh-CN"/>
        </w:rPr>
        <w:t>2021年我校无三公经费支出</w:t>
      </w:r>
    </w:p>
    <w:p>
      <w:pPr>
        <w:numPr>
          <w:ilvl w:val="0"/>
          <w:numId w:val="2"/>
        </w:numPr>
        <w:adjustRightInd w:val="0"/>
        <w:snapToGrid w:val="0"/>
        <w:spacing w:line="580" w:lineRule="exact"/>
        <w:ind w:left="0" w:leftChars="0" w:firstLine="640" w:firstLineChars="200"/>
        <w:rPr>
          <w:rFonts w:hint="eastAsia" w:ascii="黑体" w:hAnsi="Times New Roman" w:eastAsia="黑体" w:cs="Times New Roman"/>
          <w:sz w:val="32"/>
          <w:szCs w:val="40"/>
        </w:rPr>
      </w:pPr>
      <w:r>
        <w:rPr>
          <w:rFonts w:hint="eastAsia" w:ascii="黑体" w:hAnsi="Times New Roman" w:eastAsia="黑体" w:cs="Times New Roman"/>
          <w:sz w:val="32"/>
          <w:szCs w:val="40"/>
        </w:rPr>
        <w:t>预算绩效情况说明</w:t>
      </w:r>
    </w:p>
    <w:p>
      <w:pPr>
        <w:keepNext/>
        <w:keepLines/>
        <w:numPr>
          <w:ilvl w:val="0"/>
          <w:numId w:val="0"/>
        </w:numPr>
        <w:snapToGrid w:val="0"/>
        <w:spacing w:line="580" w:lineRule="exact"/>
        <w:ind w:firstLine="1280" w:firstLineChars="400"/>
        <w:jc w:val="left"/>
        <w:outlineLvl w:val="1"/>
        <w:rPr>
          <w:rFonts w:hint="eastAsia" w:ascii="黑体" w:hAnsi="Times New Roman" w:eastAsia="黑体" w:cs="Times New Roman"/>
          <w:sz w:val="32"/>
          <w:szCs w:val="40"/>
        </w:rPr>
      </w:pPr>
      <w:r>
        <w:rPr>
          <w:rFonts w:hint="eastAsia" w:ascii="黑体" w:hAnsi="Calibri" w:eastAsia="黑体" w:cs="Times New Roman"/>
          <w:sz w:val="32"/>
          <w:szCs w:val="32"/>
          <w:lang w:val="en-US" w:eastAsia="zh-CN"/>
        </w:rPr>
        <w:t>2021年我校无项目经费支出</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2021年度机关运行经费支出</w:t>
      </w:r>
      <w:r>
        <w:rPr>
          <w:rFonts w:hint="eastAsia" w:ascii="仿宋_GB2312" w:hAnsi="Times New Roman" w:eastAsia="仿宋_GB2312" w:cs="DengXian-Regular"/>
          <w:sz w:val="32"/>
          <w:szCs w:val="32"/>
          <w:lang w:eastAsia="zh-CN"/>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2021年度</w:t>
      </w:r>
      <w:r>
        <w:rPr>
          <w:rFonts w:hint="eastAsia" w:ascii="仿宋_GB2312" w:hAnsi="Times New Roman" w:eastAsia="仿宋_GB2312" w:cs="DengXian-Regular"/>
          <w:sz w:val="32"/>
          <w:szCs w:val="32"/>
          <w:lang w:val="en-US" w:eastAsia="zh-CN"/>
        </w:rPr>
        <w:t>无政府采购情况</w:t>
      </w:r>
      <w:r>
        <w:rPr>
          <w:rFonts w:hint="eastAsia" w:ascii="仿宋_GB2312" w:hAnsi="Times New Roman" w:eastAsia="仿宋_GB2312" w:cs="DengXian-Regular"/>
          <w:sz w:val="32"/>
          <w:szCs w:val="32"/>
          <w:lang w:eastAsia="zh-CN"/>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截至2021年12月31日，</w:t>
      </w:r>
      <w:r>
        <w:rPr>
          <w:rFonts w:hint="eastAsia" w:ascii="仿宋_GB2312" w:hAnsi="Times New Roman" w:eastAsia="仿宋_GB2312" w:cs="DengXian-Regular"/>
          <w:sz w:val="32"/>
          <w:szCs w:val="32"/>
          <w:lang w:val="en-US" w:eastAsia="zh-CN"/>
        </w:rPr>
        <w:t>无车辆，无50万元以上的通用设备，及100万元以上的专用设备。</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2021年度无收支及结转结余情况，故</w:t>
      </w:r>
      <w:r>
        <w:rPr>
          <w:rFonts w:hint="eastAsia" w:ascii="仿宋_GB2312" w:hAnsi="Times New Roman" w:eastAsia="仿宋_GB2312" w:cs="DengXian-Regular"/>
          <w:sz w:val="32"/>
          <w:szCs w:val="32"/>
          <w:lang w:val="en-US" w:eastAsia="zh-CN"/>
        </w:rPr>
        <w:t>相关</w:t>
      </w:r>
      <w:r>
        <w:rPr>
          <w:rFonts w:hint="eastAsia" w:ascii="仿宋_GB2312" w:hAnsi="Times New Roman" w:eastAsia="仿宋_GB2312" w:cs="DengXian-Regular"/>
          <w:sz w:val="32"/>
          <w:szCs w:val="32"/>
        </w:rPr>
        <w:t>表</w:t>
      </w:r>
      <w:r>
        <w:rPr>
          <w:rFonts w:hint="eastAsia" w:ascii="仿宋_GB2312" w:hAnsi="Times New Roman" w:eastAsia="仿宋_GB2312" w:cs="DengXian-Regular"/>
          <w:sz w:val="32"/>
          <w:szCs w:val="32"/>
          <w:lang w:val="en-US" w:eastAsia="zh-CN"/>
        </w:rPr>
        <w:t>格</w:t>
      </w:r>
      <w:r>
        <w:rPr>
          <w:rFonts w:hint="eastAsia" w:ascii="仿宋_GB2312" w:hAnsi="Times New Roman" w:eastAsia="仿宋_GB2312" w:cs="DengXian-Regular"/>
          <w:sz w:val="32"/>
          <w:szCs w:val="32"/>
        </w:rPr>
        <w:t>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p>
      <w:pPr>
        <w:rPr>
          <w:rFonts w:ascii="仿宋_GB2312" w:hAnsi="宋体" w:eastAsia="仿宋_GB2312" w:cs="ArialUnicodeMS"/>
          <w:sz w:val="32"/>
          <w:szCs w:val="32"/>
        </w:rPr>
      </w:pPr>
    </w:p>
    <w:p>
      <w:pPr>
        <w:rPr>
          <w:rFonts w:ascii="仿宋_GB2312" w:hAnsi="宋体" w:eastAsia="仿宋_GB2312" w:cs="ArialUnicodeMS"/>
          <w:sz w:val="32"/>
          <w:szCs w:val="32"/>
        </w:rPr>
      </w:pPr>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DengXian-Regular">
    <w:altName w:val="宋体"/>
    <w:panose1 w:val="00000000000000000000"/>
    <w:charset w:val="86"/>
    <w:family w:val="auto"/>
    <w:pitch w:val="default"/>
    <w:sig w:usb0="00000000" w:usb1="00000000" w:usb2="00000010" w:usb3="00000000" w:csb0="00040001" w:csb1="00000000"/>
  </w:font>
  <w:font w:name="Cambria">
    <w:panose1 w:val="02040503050406030204"/>
    <w:charset w:val="00"/>
    <w:family w:val="roman"/>
    <w:pitch w:val="default"/>
    <w:sig w:usb0="E00006FF" w:usb1="420024FF" w:usb2="02000000" w:usb3="00000000" w:csb0="2000019F" w:csb1="00000000"/>
  </w:font>
  <w:font w:name="DengXian-Bold">
    <w:altName w:val="宋体"/>
    <w:panose1 w:val="00000000000000000000"/>
    <w:charset w:val="86"/>
    <w:family w:val="auto"/>
    <w:pitch w:val="default"/>
    <w:sig w:usb0="00000000" w:usb1="00000000" w:usb2="00000010" w:usb3="00000000" w:csb0="00040001"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C42E15"/>
    <w:multiLevelType w:val="singleLevel"/>
    <w:tmpl w:val="08C42E15"/>
    <w:lvl w:ilvl="0" w:tentative="0">
      <w:start w:val="5"/>
      <w:numFmt w:val="chineseCounting"/>
      <w:suff w:val="nothing"/>
      <w:lvlText w:val="%1、"/>
      <w:lvlJc w:val="left"/>
      <w:rPr>
        <w:rFonts w:hint="eastAsia"/>
      </w:rPr>
    </w:lvl>
  </w:abstractNum>
  <w:abstractNum w:abstractNumId="1">
    <w:nsid w:val="45DB9A87"/>
    <w:multiLevelType w:val="singleLevel"/>
    <w:tmpl w:val="45DB9A8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zEsImhkaWQiOiI0N2UwMmQxZjQ3MzA5MzI2MzdhYzUyMThhZmMyOWJmYiIsInVzZXJDb3VudCI6MX0="/>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0F7B3B"/>
    <w:rsid w:val="02F2691F"/>
    <w:rsid w:val="05273E55"/>
    <w:rsid w:val="06EB1AB6"/>
    <w:rsid w:val="099D6B31"/>
    <w:rsid w:val="09FD66D9"/>
    <w:rsid w:val="0B80624A"/>
    <w:rsid w:val="0FD07D73"/>
    <w:rsid w:val="10B242CF"/>
    <w:rsid w:val="11F4604E"/>
    <w:rsid w:val="136D16FB"/>
    <w:rsid w:val="13AA21BF"/>
    <w:rsid w:val="16B97A3C"/>
    <w:rsid w:val="1A3D2C72"/>
    <w:rsid w:val="1DF84C05"/>
    <w:rsid w:val="1F73636F"/>
    <w:rsid w:val="216937C4"/>
    <w:rsid w:val="298605CB"/>
    <w:rsid w:val="2C392093"/>
    <w:rsid w:val="2CEF036C"/>
    <w:rsid w:val="308B0D67"/>
    <w:rsid w:val="32A31C4C"/>
    <w:rsid w:val="32B53CA7"/>
    <w:rsid w:val="33CD2241"/>
    <w:rsid w:val="34967CFD"/>
    <w:rsid w:val="39C2416B"/>
    <w:rsid w:val="3B744E3E"/>
    <w:rsid w:val="3DC91A1B"/>
    <w:rsid w:val="3F235BB1"/>
    <w:rsid w:val="3F663581"/>
    <w:rsid w:val="42A44BF6"/>
    <w:rsid w:val="4571549B"/>
    <w:rsid w:val="471274FD"/>
    <w:rsid w:val="49717ADD"/>
    <w:rsid w:val="4A51609B"/>
    <w:rsid w:val="4C194D3B"/>
    <w:rsid w:val="4D304C6C"/>
    <w:rsid w:val="4F2A6A41"/>
    <w:rsid w:val="500373A2"/>
    <w:rsid w:val="53AD746D"/>
    <w:rsid w:val="561769D4"/>
    <w:rsid w:val="573C0872"/>
    <w:rsid w:val="58D844B0"/>
    <w:rsid w:val="59005193"/>
    <w:rsid w:val="5A371F72"/>
    <w:rsid w:val="5AD70E7E"/>
    <w:rsid w:val="5EBC1305"/>
    <w:rsid w:val="5F4A1A8C"/>
    <w:rsid w:val="60075621"/>
    <w:rsid w:val="602001C2"/>
    <w:rsid w:val="60CE32E1"/>
    <w:rsid w:val="61C7594C"/>
    <w:rsid w:val="64C00985"/>
    <w:rsid w:val="65225D26"/>
    <w:rsid w:val="65DB5CBA"/>
    <w:rsid w:val="674E6C15"/>
    <w:rsid w:val="67636EEB"/>
    <w:rsid w:val="697609B2"/>
    <w:rsid w:val="69F4671F"/>
    <w:rsid w:val="6CBF282C"/>
    <w:rsid w:val="70EB069D"/>
    <w:rsid w:val="73335BEE"/>
    <w:rsid w:val="734B3BFA"/>
    <w:rsid w:val="73753308"/>
    <w:rsid w:val="75B37032"/>
    <w:rsid w:val="78726082"/>
    <w:rsid w:val="790C5B88"/>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12</Pages>
  <Words>2810</Words>
  <Characters>3040</Characters>
  <Lines>82</Lines>
  <Paragraphs>23</Paragraphs>
  <TotalTime>1</TotalTime>
  <ScaleCrop>false</ScaleCrop>
  <LinksUpToDate>false</LinksUpToDate>
  <CharactersWithSpaces>3074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DELL</cp:lastModifiedBy>
  <dcterms:modified xsi:type="dcterms:W3CDTF">2023-07-25T10:33:52Z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0E1C96811086451E9DDB7309936A9F0D</vt:lpwstr>
  </property>
</Properties>
</file>