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drawings/drawing1.xml" ContentType="application/vnd.openxmlformats-officedocument.drawingml.chartshap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二〇二二年十月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二〇二二年十月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：3600</w:t>
                            </w:r>
                            <w:r>
                              <w:rPr>
                                <w:rFonts w:hint="eastAsia" w:ascii="楷体_GB2312" w:hAnsi="楷体_GB2312" w:eastAsia="楷体_GB2312" w:cs="楷体_GB2312"/>
                                <w:color w:val="000000"/>
                                <w:sz w:val="40"/>
                                <w:szCs w:val="40"/>
                                <w:lang w:val="en-US" w:eastAsia="zh-CN"/>
                              </w:rPr>
                              <w:t>18</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：石家庄市藁城区</w:t>
                            </w:r>
                            <w:r>
                              <w:rPr>
                                <w:rFonts w:hint="eastAsia" w:ascii="楷体_GB2312" w:hAnsi="楷体_GB2312" w:eastAsia="楷体_GB2312" w:cs="楷体_GB2312"/>
                                <w:color w:val="000000"/>
                                <w:sz w:val="40"/>
                                <w:szCs w:val="40"/>
                                <w:lang w:val="en-US" w:eastAsia="zh-CN"/>
                              </w:rPr>
                              <w:t>九门回族</w:t>
                            </w:r>
                            <w:r>
                              <w:rPr>
                                <w:rFonts w:hint="eastAsia" w:ascii="楷体_GB2312" w:hAnsi="楷体_GB2312" w:eastAsia="楷体_GB2312" w:cs="楷体_GB2312"/>
                                <w:color w:val="000000"/>
                                <w:sz w:val="40"/>
                                <w:szCs w:val="40"/>
                              </w:rPr>
                              <w:t>中学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：3600</w:t>
                      </w:r>
                      <w:r>
                        <w:rPr>
                          <w:rFonts w:hint="eastAsia" w:ascii="楷体_GB2312" w:hAnsi="楷体_GB2312" w:eastAsia="楷体_GB2312" w:cs="楷体_GB2312"/>
                          <w:color w:val="000000"/>
                          <w:sz w:val="40"/>
                          <w:szCs w:val="40"/>
                          <w:lang w:val="en-US" w:eastAsia="zh-CN"/>
                        </w:rPr>
                        <w:t>18</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：石家庄市藁城区</w:t>
                      </w:r>
                      <w:r>
                        <w:rPr>
                          <w:rFonts w:hint="eastAsia" w:ascii="楷体_GB2312" w:hAnsi="楷体_GB2312" w:eastAsia="楷体_GB2312" w:cs="楷体_GB2312"/>
                          <w:color w:val="000000"/>
                          <w:sz w:val="40"/>
                          <w:szCs w:val="40"/>
                          <w:lang w:val="en-US" w:eastAsia="zh-CN"/>
                        </w:rPr>
                        <w:t>九门回族</w:t>
                      </w:r>
                      <w:r>
                        <w:rPr>
                          <w:rFonts w:hint="eastAsia" w:ascii="楷体_GB2312" w:hAnsi="楷体_GB2312" w:eastAsia="楷体_GB2312" w:cs="楷体_GB2312"/>
                          <w:color w:val="000000"/>
                          <w:sz w:val="40"/>
                          <w:szCs w:val="40"/>
                        </w:rPr>
                        <w:t>中学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5"/>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5"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jc w:val="center"/>
        <w:rPr>
          <w:rFonts w:ascii="黑体" w:hAnsi="黑体" w:eastAsia="黑体" w:cs="黑体"/>
          <w:sz w:val="56"/>
          <w:szCs w:val="72"/>
        </w:rPr>
        <w:sectPr>
          <w:headerReference r:id="rId4" w:type="first"/>
          <w:footerReference r:id="rId6" w:type="first"/>
          <w:headerReference r:id="rId3" w:type="default"/>
          <w:footerReference r:id="rId5" w:type="default"/>
          <w:pgSz w:w="11906" w:h="16838"/>
          <w:pgMar w:top="2041" w:right="1531" w:bottom="2041" w:left="1531" w:header="851" w:footer="992" w:gutter="0"/>
          <w:cols w:space="0" w:num="1"/>
          <w:titlePg/>
          <w:docGrid w:type="lines" w:linePitch="312" w:charSpace="0"/>
        </w:sectPr>
      </w:pP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8" w:type="first"/>
          <w:footerReference r:id="rId10" w:type="first"/>
          <w:headerReference r:id="rId7" w:type="default"/>
          <w:footerReference r:id="rId9"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eastAsia="zh-CN"/>
        </w:rPr>
        <w:t>单位</w:t>
      </w:r>
      <w:r>
        <w:rPr>
          <w:rFonts w:hint="eastAsia" w:ascii="黑体" w:eastAsia="黑体" w:cs="黑体"/>
          <w:b w:val="0"/>
          <w:bCs w:val="0"/>
          <w:kern w:val="0"/>
          <w:sz w:val="32"/>
          <w:szCs w:val="32"/>
        </w:rPr>
        <w:t>职责</w:t>
      </w:r>
    </w:p>
    <w:p>
      <w:pPr>
        <w:widowControl/>
        <w:spacing w:line="580" w:lineRule="exact"/>
        <w:ind w:firstLine="640" w:firstLineChars="200"/>
        <w:rPr>
          <w:rFonts w:ascii="仿宋_GB2312" w:hAnsi="Calibri" w:eastAsia="仿宋_GB2312" w:cs="ArialUnicodeMS"/>
          <w:kern w:val="0"/>
          <w:sz w:val="32"/>
          <w:szCs w:val="32"/>
        </w:rPr>
      </w:pPr>
      <w:r>
        <w:rPr>
          <w:rFonts w:hint="eastAsia" w:ascii="仿宋_GB2312" w:eastAsia="仿宋_GB2312" w:cs="ArialUnicodeMS"/>
          <w:kern w:val="0"/>
          <w:sz w:val="32"/>
          <w:szCs w:val="32"/>
        </w:rPr>
        <w:t>实施</w:t>
      </w:r>
      <w:r>
        <w:rPr>
          <w:rFonts w:hint="eastAsia" w:ascii="仿宋_GB2312" w:eastAsia="仿宋_GB2312" w:cs="ArialUnicodeMS"/>
          <w:kern w:val="0"/>
          <w:sz w:val="32"/>
          <w:szCs w:val="32"/>
          <w:lang w:val="en-US" w:eastAsia="zh-CN"/>
        </w:rPr>
        <w:t>高</w:t>
      </w:r>
      <w:r>
        <w:rPr>
          <w:rFonts w:hint="eastAsia" w:ascii="仿宋_GB2312" w:eastAsia="仿宋_GB2312" w:cs="ArialUnicodeMS"/>
          <w:kern w:val="0"/>
          <w:sz w:val="32"/>
          <w:szCs w:val="32"/>
        </w:rPr>
        <w:t>中</w:t>
      </w:r>
      <w:r>
        <w:rPr>
          <w:rFonts w:hint="eastAsia" w:ascii="仿宋_GB2312" w:eastAsia="仿宋_GB2312" w:cs="ArialUnicodeMS"/>
          <w:kern w:val="0"/>
          <w:sz w:val="32"/>
          <w:szCs w:val="32"/>
          <w:lang w:eastAsia="zh-CN"/>
        </w:rPr>
        <w:t>、</w:t>
      </w:r>
      <w:r>
        <w:rPr>
          <w:rFonts w:hint="eastAsia" w:ascii="仿宋_GB2312" w:eastAsia="仿宋_GB2312" w:cs="ArialUnicodeMS"/>
          <w:kern w:val="0"/>
          <w:sz w:val="32"/>
          <w:szCs w:val="32"/>
          <w:lang w:val="en-US" w:eastAsia="zh-CN"/>
        </w:rPr>
        <w:t>中等专业</w:t>
      </w:r>
      <w:r>
        <w:rPr>
          <w:rFonts w:hint="eastAsia" w:ascii="仿宋_GB2312" w:eastAsia="仿宋_GB2312" w:cs="ArialUnicodeMS"/>
          <w:kern w:val="0"/>
          <w:sz w:val="32"/>
          <w:szCs w:val="32"/>
        </w:rPr>
        <w:t>学历教育，促进基础</w:t>
      </w:r>
      <w:r>
        <w:rPr>
          <w:rFonts w:hint="eastAsia" w:ascii="仿宋_GB2312" w:eastAsia="仿宋_GB2312" w:cs="ArialUnicodeMS"/>
          <w:kern w:val="0"/>
          <w:sz w:val="32"/>
          <w:szCs w:val="32"/>
          <w:lang w:eastAsia="zh-CN"/>
        </w:rPr>
        <w:t>、</w:t>
      </w:r>
      <w:r>
        <w:rPr>
          <w:rFonts w:hint="eastAsia" w:ascii="仿宋_GB2312" w:eastAsia="仿宋_GB2312" w:cs="ArialUnicodeMS"/>
          <w:kern w:val="0"/>
          <w:sz w:val="32"/>
          <w:szCs w:val="32"/>
          <w:lang w:val="en-US" w:eastAsia="zh-CN"/>
        </w:rPr>
        <w:t>职业</w:t>
      </w:r>
      <w:r>
        <w:rPr>
          <w:rFonts w:hint="eastAsia" w:ascii="仿宋_GB2312" w:eastAsia="仿宋_GB2312" w:cs="ArialUnicodeMS"/>
          <w:kern w:val="0"/>
          <w:sz w:val="32"/>
          <w:szCs w:val="32"/>
        </w:rPr>
        <w:t>教育发展，</w:t>
      </w:r>
      <w:r>
        <w:rPr>
          <w:rFonts w:hint="eastAsia" w:ascii="仿宋_GB2312" w:eastAsia="仿宋_GB2312" w:cs="ArialUnicodeMS"/>
          <w:kern w:val="0"/>
          <w:sz w:val="32"/>
          <w:szCs w:val="32"/>
          <w:lang w:val="en-US" w:eastAsia="zh-CN"/>
        </w:rPr>
        <w:t>高</w:t>
      </w:r>
      <w:r>
        <w:rPr>
          <w:rFonts w:hint="eastAsia" w:ascii="仿宋_GB2312" w:eastAsia="仿宋_GB2312" w:cs="ArialUnicodeMS"/>
          <w:kern w:val="0"/>
          <w:sz w:val="32"/>
          <w:szCs w:val="32"/>
        </w:rPr>
        <w:t>中</w:t>
      </w:r>
      <w:r>
        <w:rPr>
          <w:rFonts w:hint="eastAsia" w:ascii="仿宋_GB2312" w:eastAsia="仿宋_GB2312" w:cs="ArialUnicodeMS"/>
          <w:kern w:val="0"/>
          <w:sz w:val="32"/>
          <w:szCs w:val="32"/>
          <w:lang w:eastAsia="zh-CN"/>
        </w:rPr>
        <w:t>、</w:t>
      </w:r>
      <w:r>
        <w:rPr>
          <w:rFonts w:hint="eastAsia" w:ascii="仿宋_GB2312" w:eastAsia="仿宋_GB2312" w:cs="ArialUnicodeMS"/>
          <w:kern w:val="0"/>
          <w:sz w:val="32"/>
          <w:szCs w:val="32"/>
          <w:lang w:val="en-US" w:eastAsia="zh-CN"/>
        </w:rPr>
        <w:t>中等</w:t>
      </w:r>
      <w:r>
        <w:rPr>
          <w:rFonts w:hint="eastAsia" w:ascii="仿宋_GB2312" w:eastAsia="仿宋_GB2312" w:cs="ArialUnicodeMS"/>
          <w:kern w:val="0"/>
          <w:sz w:val="32"/>
          <w:szCs w:val="32"/>
        </w:rPr>
        <w:t>学历教育及相关社会服务</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eastAsia="zh-CN"/>
        </w:rPr>
        <w:t>单位</w:t>
      </w:r>
      <w:r>
        <w:rPr>
          <w:rFonts w:hint="eastAsia" w:ascii="仿宋_GB2312" w:hAnsi="Calibri" w:eastAsia="仿宋_GB2312" w:cs="ArialUnicodeMS"/>
          <w:kern w:val="0"/>
          <w:sz w:val="32"/>
          <w:szCs w:val="32"/>
        </w:rPr>
        <w:t>决算汇编范围的独立核算单位（以下简称“单位”）共1个，具体情况如下：</w:t>
      </w:r>
    </w:p>
    <w:tbl>
      <w:tblPr>
        <w:tblStyle w:val="8"/>
        <w:tblpPr w:leftFromText="180" w:rightFromText="180" w:vertAnchor="text" w:horzAnchor="margin" w:tblpY="1225"/>
        <w:tblOverlap w:val="never"/>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984"/>
        <w:gridCol w:w="1946"/>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984"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1946"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984" w:type="dxa"/>
          </w:tcPr>
          <w:p>
            <w:pPr>
              <w:spacing w:line="560" w:lineRule="exac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石家庄市藁城区</w:t>
            </w:r>
            <w:r>
              <w:rPr>
                <w:rFonts w:hint="eastAsia" w:ascii="仿宋_GB2312" w:hAnsi="Calibri" w:eastAsia="仿宋_GB2312" w:cs="ArialUnicodeMS"/>
                <w:kern w:val="0"/>
                <w:sz w:val="28"/>
                <w:szCs w:val="28"/>
                <w:lang w:eastAsia="zh-CN"/>
              </w:rPr>
              <w:t>九</w:t>
            </w:r>
            <w:r>
              <w:rPr>
                <w:rFonts w:hint="eastAsia" w:ascii="仿宋_GB2312" w:hAnsi="Calibri" w:eastAsia="仿宋_GB2312" w:cs="ArialUnicodeMS"/>
                <w:kern w:val="0"/>
                <w:sz w:val="28"/>
                <w:szCs w:val="28"/>
                <w:lang w:val="en-US" w:eastAsia="zh-CN"/>
              </w:rPr>
              <w:t>门回族</w:t>
            </w:r>
            <w:r>
              <w:rPr>
                <w:rFonts w:hint="eastAsia" w:ascii="仿宋_GB2312" w:hAnsi="Calibri" w:eastAsia="仿宋_GB2312" w:cs="ArialUnicodeMS"/>
                <w:kern w:val="0"/>
                <w:sz w:val="28"/>
                <w:szCs w:val="28"/>
              </w:rPr>
              <w:t>中学</w:t>
            </w:r>
          </w:p>
        </w:tc>
        <w:tc>
          <w:tcPr>
            <w:tcW w:w="1946" w:type="dxa"/>
          </w:tcPr>
          <w:p>
            <w:pPr>
              <w:spacing w:line="560" w:lineRule="exact"/>
              <w:jc w:val="center"/>
              <w:rPr>
                <w:rFonts w:ascii="仿宋_GB2312" w:hAnsi="Calibri" w:eastAsia="仿宋_GB2312" w:cs="ArialUnicodeMS"/>
                <w:kern w:val="0"/>
                <w:sz w:val="28"/>
                <w:szCs w:val="28"/>
              </w:rPr>
            </w:pPr>
            <w:r>
              <w:rPr>
                <w:rFonts w:ascii="仿宋_GB2312" w:hAnsi="Calibri" w:eastAsia="仿宋_GB2312" w:cs="ArialUnicodeMS"/>
                <w:kern w:val="0"/>
                <w:sz w:val="28"/>
                <w:szCs w:val="28"/>
              </w:rPr>
              <w:t>财政补助事业单位</w:t>
            </w:r>
          </w:p>
        </w:tc>
        <w:tc>
          <w:tcPr>
            <w:tcW w:w="2665" w:type="dxa"/>
          </w:tcPr>
          <w:p>
            <w:pPr>
              <w:spacing w:line="560" w:lineRule="exact"/>
              <w:jc w:val="center"/>
              <w:rPr>
                <w:rFonts w:ascii="仿宋_GB2312" w:hAnsi="Calibri" w:eastAsia="仿宋_GB2312" w:cs="ArialUnicodeMS"/>
                <w:kern w:val="0"/>
                <w:sz w:val="28"/>
                <w:szCs w:val="28"/>
              </w:rPr>
            </w:pPr>
            <w:r>
              <w:rPr>
                <w:rFonts w:ascii="仿宋_GB2312" w:hAnsi="Calibri" w:eastAsia="仿宋_GB2312" w:cs="ArialUnicodeMS"/>
                <w:kern w:val="0"/>
                <w:sz w:val="28"/>
                <w:szCs w:val="28"/>
              </w:rPr>
              <w:t>财政</w:t>
            </w:r>
            <w:r>
              <w:rPr>
                <w:rFonts w:hint="eastAsia" w:ascii="仿宋_GB2312" w:hAnsi="Calibri" w:eastAsia="仿宋_GB2312" w:cs="ArialUnicodeMS"/>
                <w:kern w:val="0"/>
                <w:sz w:val="28"/>
                <w:szCs w:val="28"/>
              </w:rPr>
              <w:t>拨款</w:t>
            </w: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11"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23">
                      <a:extLst>
                        <a:ext uri="{96DAC541-7B7A-43D3-8B79-37D633B846F1}">
                          <asvg:svgBlip xmlns:asvg="http://schemas.microsoft.com/office/drawing/2016/SVG/main" r:embed="rId24"/>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default" w:ascii="仿宋_GB2312" w:hAnsi="Times New Roman" w:eastAsia="仿宋_GB2312" w:cs="DengXian-Regular"/>
          <w:sz w:val="32"/>
          <w:szCs w:val="32"/>
          <w:lang w:val="en-US"/>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2021年度收、支总计（含结转和结余）1</w:t>
      </w:r>
      <w:r>
        <w:rPr>
          <w:rFonts w:hint="eastAsia" w:ascii="仿宋_GB2312" w:hAnsi="Times New Roman" w:eastAsia="仿宋_GB2312" w:cs="DengXian-Regular"/>
          <w:sz w:val="32"/>
          <w:szCs w:val="32"/>
          <w:lang w:val="en-US" w:eastAsia="zh-CN"/>
        </w:rPr>
        <w:t>260.26</w:t>
      </w:r>
      <w:r>
        <w:rPr>
          <w:rFonts w:hint="eastAsia" w:ascii="仿宋_GB2312" w:hAnsi="Times New Roman" w:eastAsia="仿宋_GB2312" w:cs="DengXian-Regular"/>
          <w:sz w:val="32"/>
          <w:szCs w:val="32"/>
        </w:rPr>
        <w:t>万元。与2020年度决算相比，收支各</w:t>
      </w:r>
      <w:r>
        <w:rPr>
          <w:rFonts w:hint="eastAsia" w:ascii="仿宋_GB2312" w:hAnsi="Times New Roman" w:eastAsia="仿宋_GB2312" w:cs="DengXian-Regular"/>
          <w:sz w:val="32"/>
          <w:szCs w:val="32"/>
          <w:lang w:val="en-US" w:eastAsia="zh-CN"/>
        </w:rPr>
        <w:t>减少620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54</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降低49.24</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2020年石家庄市藁城区第九中学初中部的收支全部在石家庄市藁城区九门回族中学的帐户上，而2021年由于财务及会计制度的改革，石家庄市藁城区第九中学初中部的收支全部划转到石家庄市藁城区第九中学的帐户上，所以造成我校收支减少。</w:t>
      </w: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ascii="仿宋_GB2312" w:hAnsi="Times New Roman" w:eastAsia="仿宋_GB2312" w:cs="DengXian-Regular"/>
          <w:sz w:val="32"/>
          <w:szCs w:val="32"/>
        </w:rPr>
        <w:drawing>
          <wp:anchor distT="0" distB="0" distL="114300" distR="114300" simplePos="0" relativeHeight="251673600" behindDoc="0" locked="0" layoutInCell="1" allowOverlap="1">
            <wp:simplePos x="0" y="0"/>
            <wp:positionH relativeFrom="column">
              <wp:posOffset>407670</wp:posOffset>
            </wp:positionH>
            <wp:positionV relativeFrom="paragraph">
              <wp:posOffset>-2923540</wp:posOffset>
            </wp:positionV>
            <wp:extent cx="5486400" cy="3200400"/>
            <wp:effectExtent l="0" t="0" r="19050" b="19050"/>
            <wp:wrapNone/>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本单位2021年度收入合计</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1260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26</w:t>
      </w:r>
      <w:r>
        <w:rPr>
          <w:rFonts w:hint="eastAsia" w:ascii="仿宋_GB2312" w:hAnsi="Times New Roman" w:eastAsia="仿宋_GB2312" w:cs="DengXian-Regular"/>
          <w:sz w:val="32"/>
          <w:szCs w:val="32"/>
        </w:rPr>
        <w:t>万元，占100%；事业收入0万元，占0%；经营收入0万元，占0%；其他收入0万元，占0%。</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2021年度支出合计</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%；经营支出0万元，占0%。</w:t>
      </w:r>
    </w:p>
    <w:p>
      <w:pPr>
        <w:adjustRightInd w:val="0"/>
        <w:snapToGrid w:val="0"/>
        <w:spacing w:line="580" w:lineRule="exact"/>
        <w:ind w:firstLine="640" w:firstLineChars="200"/>
        <w:rPr>
          <w:rFonts w:ascii="仿宋_GB2312" w:hAnsi="Times New Roman" w:eastAsia="仿宋_GB2312" w:cs="DengXian-Regular"/>
          <w:sz w:val="32"/>
          <w:szCs w:val="32"/>
        </w:rPr>
      </w:pPr>
      <w:r>
        <w:rPr>
          <w:rFonts w:ascii="仿宋_GB2312" w:hAnsi="Times New Roman" w:eastAsia="仿宋_GB2312" w:cs="DengXian-Regular"/>
          <w:sz w:val="32"/>
          <w:szCs w:val="32"/>
          <w:highlight w:val="yellow"/>
        </w:rPr>
        <mc:AlternateContent>
          <mc:Choice Requires="wps">
            <w:drawing>
              <wp:anchor distT="0" distB="0" distL="114300" distR="114300" simplePos="0" relativeHeight="251676672" behindDoc="0" locked="0" layoutInCell="1" allowOverlap="1">
                <wp:simplePos x="0" y="0"/>
                <wp:positionH relativeFrom="column">
                  <wp:posOffset>1062355</wp:posOffset>
                </wp:positionH>
                <wp:positionV relativeFrom="paragraph">
                  <wp:posOffset>236855</wp:posOffset>
                </wp:positionV>
                <wp:extent cx="2374265" cy="1403985"/>
                <wp:effectExtent l="0" t="0" r="0" b="6350"/>
                <wp:wrapNone/>
                <wp:docPr id="1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ln>
                      </wps:spPr>
                      <wps:txbx>
                        <w:txbxContent>
                          <w:p>
                            <w:r>
                              <w:rPr>
                                <w:rFonts w:hint="eastAsia"/>
                              </w:rPr>
                              <w:t>项目支出</w:t>
                            </w:r>
                            <w:r>
                              <w:rPr>
                                <w:rFonts w:hint="eastAsia"/>
                                <w:lang w:val="en-US" w:eastAsia="zh-CN"/>
                              </w:rPr>
                              <w:t>0</w:t>
                            </w:r>
                            <w:r>
                              <w:rPr>
                                <w:rFonts w:hint="eastAsia"/>
                              </w:rPr>
                              <w:t>万元</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文本框 2" o:spid="_x0000_s1026" o:spt="202" type="#_x0000_t202" style="position:absolute;left:0pt;margin-left:83.65pt;margin-top:18.65pt;height:110.55pt;width:186.95pt;z-index:251676672;mso-width-relative:margin;mso-height-relative:margin;mso-width-percent:400;mso-height-percent:200;" filled="f" stroked="f" coordsize="21600,21600" o:gfxdata="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rQrkDYAAAACgEAAA8AAAAAAAAAAQAgAAAAIgAAAGRycy9kb3ducmV2LnhtbFBLAQIUABQAAAAI&#10;AIdO4kCcLuqtJgIAACsEAAAOAAAAAAAAAAEAIAAAACcBAABkcnMvZTJvRG9jLnhtbFBLBQYAAAAA&#10;BgAGAFkBAAC/BQAAAAA=&#10;">
                <v:fill on="f" focussize="0,0"/>
                <v:stroke on="f" miterlimit="8" joinstyle="miter"/>
                <v:imagedata o:title=""/>
                <o:lock v:ext="edit" aspectratio="f"/>
                <v:textbox style="mso-fit-shape-to-text:t;">
                  <w:txbxContent>
                    <w:p>
                      <w:r>
                        <w:rPr>
                          <w:rFonts w:hint="eastAsia"/>
                        </w:rPr>
                        <w:t>项目支出</w:t>
                      </w:r>
                      <w:r>
                        <w:rPr>
                          <w:rFonts w:hint="eastAsia"/>
                          <w:lang w:val="en-US" w:eastAsia="zh-CN"/>
                        </w:rPr>
                        <w:t>0</w:t>
                      </w:r>
                      <w:r>
                        <w:rPr>
                          <w:rFonts w:hint="eastAsia"/>
                        </w:rPr>
                        <w:t>万元</w:t>
                      </w:r>
                    </w:p>
                  </w:txbxContent>
                </v:textbox>
              </v:shape>
            </w:pict>
          </mc:Fallback>
        </mc:AlternateContent>
      </w: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r>
        <w:rPr>
          <w:rFonts w:ascii="仿宋_GB2312" w:hAnsi="Times New Roman" w:eastAsia="仿宋_GB2312" w:cs="DengXian-Regular"/>
          <w:sz w:val="32"/>
          <w:szCs w:val="32"/>
          <w:highlight w:val="yellow"/>
        </w:rPr>
        <mc:AlternateContent>
          <mc:Choice Requires="wps">
            <w:drawing>
              <wp:anchor distT="0" distB="0" distL="114300" distR="114300" simplePos="0" relativeHeight="251675648" behindDoc="0" locked="0" layoutInCell="1" allowOverlap="1">
                <wp:simplePos x="0" y="0"/>
                <wp:positionH relativeFrom="column">
                  <wp:posOffset>2414905</wp:posOffset>
                </wp:positionH>
                <wp:positionV relativeFrom="paragraph">
                  <wp:posOffset>189230</wp:posOffset>
                </wp:positionV>
                <wp:extent cx="1043305" cy="655320"/>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43305" cy="655320"/>
                        </a:xfrm>
                        <a:prstGeom prst="rect">
                          <a:avLst/>
                        </a:prstGeom>
                        <a:noFill/>
                        <a:ln w="9525">
                          <a:noFill/>
                          <a:miter lim="800000"/>
                        </a:ln>
                      </wps:spPr>
                      <wps:txbx>
                        <w:txbxContent>
                          <w:p>
                            <w:r>
                              <w:rPr>
                                <w:rFonts w:hint="eastAsia"/>
                              </w:rPr>
                              <w:t>基本支出</w:t>
                            </w:r>
                            <w:r>
                              <w:rPr>
                                <w:rFonts w:hint="eastAsia"/>
                                <w:lang w:val="en-US" w:eastAsia="zh-CN"/>
                              </w:rPr>
                              <w:t>1260.26</w:t>
                            </w:r>
                            <w:r>
                              <w:rPr>
                                <w:rFonts w:hint="eastAsia"/>
                              </w:rPr>
                              <w:t>万元</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90.15pt;margin-top:14.9pt;height:51.6pt;width:82.15pt;z-index:251675648;mso-width-relative:page;mso-height-relative:page;" filled="f" stroked="f" coordsize="21600,21600" o:gfxdata="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R&#10;tfns1wAAAAoBAAAPAAAAAAAAAAEAIAAAACIAAABkcnMvZG93bnJldi54bWxQSwECFAAUAAAACACH&#10;TuJAn4+gMiUCAAArBAAADgAAAAAAAAABACAAAAAmAQAAZHJzL2Uyb0RvYy54bWxQSwUGAAAAAAYA&#10;BgBZAQAAvQUAAAAA&#10;">
                <v:fill on="f" focussize="0,0"/>
                <v:stroke on="f" miterlimit="8" joinstyle="miter"/>
                <v:imagedata o:title=""/>
                <o:lock v:ext="edit" aspectratio="f"/>
                <v:textbox>
                  <w:txbxContent>
                    <w:p>
                      <w:r>
                        <w:rPr>
                          <w:rFonts w:hint="eastAsia"/>
                        </w:rPr>
                        <w:t>基本支出</w:t>
                      </w:r>
                      <w:r>
                        <w:rPr>
                          <w:rFonts w:hint="eastAsia"/>
                          <w:lang w:val="en-US" w:eastAsia="zh-CN"/>
                        </w:rPr>
                        <w:t>1260.26</w:t>
                      </w:r>
                      <w:r>
                        <w:rPr>
                          <w:rFonts w:hint="eastAsia"/>
                        </w:rPr>
                        <w:t>万元</w:t>
                      </w:r>
                    </w:p>
                  </w:txbxContent>
                </v:textbox>
              </v:shape>
            </w:pict>
          </mc:Fallback>
        </mc:AlternateContent>
      </w: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ascii="仿宋_GB2312" w:hAnsi="Times New Roman" w:eastAsia="仿宋_GB2312" w:cs="DengXian-Regular"/>
          <w:sz w:val="32"/>
          <w:szCs w:val="32"/>
        </w:rPr>
        <w:drawing>
          <wp:anchor distT="0" distB="0" distL="114300" distR="114300" simplePos="0" relativeHeight="251674624" behindDoc="0" locked="0" layoutInCell="1" allowOverlap="1">
            <wp:simplePos x="0" y="0"/>
            <wp:positionH relativeFrom="column">
              <wp:posOffset>407670</wp:posOffset>
            </wp:positionH>
            <wp:positionV relativeFrom="paragraph">
              <wp:posOffset>-2922270</wp:posOffset>
            </wp:positionV>
            <wp:extent cx="5486400" cy="3200400"/>
            <wp:effectExtent l="0" t="0" r="19050" b="19050"/>
            <wp:wrapNone/>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2021年度财政拨款收入</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比2020年度减少620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54</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降低49.24</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2020年石家庄市藁城区第九中学初中部的收入全部在石家庄市藁城区九门回族中学的帐户上，而2021年由于财务及会计制度的改革，石家庄市藁城区第九中学初中部的收入全部划转到石家庄市藁城区第九中学的帐户上，所以造成我校收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比2020年度减少620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54</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降低49.24</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2020年石家庄市藁城区第九中学初中部的支出全部在石家庄市藁城区九门回族中学的帐户上，而2021年由于财务及会计制度的改革，石家庄市藁城区第九中学初中部的支出全部划转到石家庄市藁城区第九中学的帐户上，所以造成我校支出减少。</w:t>
      </w:r>
      <w:r>
        <w:rPr>
          <w:rFonts w:hint="eastAsia" w:ascii="仿宋_GB2312" w:hAnsi="Times New Roman" w:eastAsia="仿宋_GB2312" w:cs="DengXian-Regular"/>
          <w:sz w:val="32"/>
          <w:szCs w:val="32"/>
        </w:rPr>
        <w:t>具体情况如下：</w:t>
      </w:r>
    </w:p>
    <w:p>
      <w:pPr>
        <w:numPr>
          <w:ilvl w:val="0"/>
          <w:numId w:val="1"/>
        </w:num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一般公共预算财政拨款本年收入</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比2020年度减少620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54</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降低49.24</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2020年石家庄市藁城区第九中学初中部的收入全部在石家庄市藁城区九门回族中学的帐户上，而2021年由于财务及会计制度的改革，石家庄市藁城区第九中学初中部的收入全部划转到石家庄市藁城区第九中学的帐户上，所以造成我校收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比2020年度减少620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54</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降低49.24</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2020年石家庄市藁城区第九中学初中部的支出全部在石家庄市藁城区九门回族中学的帐户上，而2021年由于财务及会计制度的改革，石家庄市藁城区第九中学初中部的支出全部划转到石家庄市藁城区第九中学的帐户上，所以造成我校支出减少。</w:t>
      </w:r>
    </w:p>
    <w:p>
      <w:pPr>
        <w:numPr>
          <w:ilvl w:val="0"/>
          <w:numId w:val="0"/>
        </w:numPr>
        <w:adjustRightInd w:val="0"/>
        <w:snapToGrid w:val="0"/>
        <w:spacing w:line="580" w:lineRule="exact"/>
        <w:ind w:firstLine="320" w:firstLineChars="1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2.政府性基金预算财政拨款本年收入0万元，比上年增加0万元，增长0%；本年支出0万元，比上年增加0万元，增长0%。</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3.国有资本经营预算财政拨款本年收入0万元，比上年增0万元，增长0%；本年支出0万元，比上年增加0万元，增长0%。</w:t>
      </w:r>
    </w:p>
    <w:p>
      <w:pPr>
        <w:pStyle w:val="4"/>
        <w:bidi w:val="0"/>
      </w:pPr>
    </w:p>
    <w:p>
      <w:pPr>
        <w:adjustRightInd w:val="0"/>
        <w:snapToGrid w:val="0"/>
        <w:spacing w:line="580" w:lineRule="exact"/>
        <w:ind w:firstLine="420" w:firstLineChars="200"/>
        <w:rPr>
          <w:rFonts w:ascii="仿宋_GB2312" w:hAnsi="Times New Roman" w:eastAsia="仿宋_GB2312" w:cs="DengXian-Regular"/>
          <w:sz w:val="32"/>
          <w:szCs w:val="32"/>
        </w:rPr>
      </w:pPr>
      <w:bookmarkStart w:id="0" w:name="_GoBack"/>
      <w:r>
        <w:rPr>
          <w:rFonts w:hint="eastAsia"/>
        </w:rPr>
        <w:drawing>
          <wp:anchor distT="0" distB="0" distL="114300" distR="114300" simplePos="0" relativeHeight="251677696" behindDoc="0" locked="0" layoutInCell="1" allowOverlap="1">
            <wp:simplePos x="0" y="0"/>
            <wp:positionH relativeFrom="column">
              <wp:posOffset>74930</wp:posOffset>
            </wp:positionH>
            <wp:positionV relativeFrom="paragraph">
              <wp:posOffset>-910590</wp:posOffset>
            </wp:positionV>
            <wp:extent cx="5244465" cy="3472180"/>
            <wp:effectExtent l="4445" t="4445" r="8890" b="15875"/>
            <wp:wrapNone/>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bookmarkEnd w:id="0"/>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1260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26</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92</w:t>
      </w:r>
      <w:r>
        <w:rPr>
          <w:rFonts w:hint="eastAsia" w:ascii="仿宋_GB2312" w:hAnsi="Times New Roman" w:eastAsia="仿宋_GB2312" w:cs="DengXian-Regular"/>
          <w:sz w:val="32"/>
          <w:szCs w:val="32"/>
        </w:rPr>
        <w:t>%,比年初预算</w:t>
      </w:r>
      <w:r>
        <w:rPr>
          <w:rFonts w:hint="eastAsia" w:ascii="仿宋_GB2312" w:hAnsi="Times New Roman" w:eastAsia="仿宋_GB2312" w:cs="DengXian-Regular"/>
          <w:sz w:val="32"/>
          <w:szCs w:val="32"/>
          <w:lang w:val="en-US" w:eastAsia="zh-CN"/>
        </w:rPr>
        <w:t>减少109</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4</w:t>
      </w:r>
      <w:r>
        <w:rPr>
          <w:rFonts w:hint="eastAsia" w:ascii="仿宋_GB2312" w:hAnsi="Times New Roman" w:eastAsia="仿宋_GB2312" w:cs="DengXian-Regular"/>
          <w:sz w:val="32"/>
          <w:szCs w:val="32"/>
        </w:rPr>
        <w:t>万，算数</w:t>
      </w:r>
      <w:r>
        <w:rPr>
          <w:rFonts w:hint="eastAsia" w:ascii="仿宋_GB2312" w:hAnsi="Times New Roman" w:eastAsia="仿宋_GB2312" w:cs="DengXian-Regular"/>
          <w:sz w:val="32"/>
          <w:szCs w:val="32"/>
          <w:lang w:val="en-US" w:eastAsia="zh-CN"/>
        </w:rPr>
        <w:t>小</w:t>
      </w:r>
      <w:r>
        <w:rPr>
          <w:rFonts w:hint="eastAsia" w:ascii="仿宋_GB2312" w:hAnsi="Times New Roman" w:eastAsia="仿宋_GB2312" w:cs="DengXian-Regular"/>
          <w:sz w:val="32"/>
          <w:szCs w:val="32"/>
        </w:rPr>
        <w:t>于预算数主要原因是</w:t>
      </w:r>
      <w:r>
        <w:rPr>
          <w:rFonts w:hint="eastAsia" w:ascii="仿宋_GB2312" w:hAnsi="Times New Roman" w:eastAsia="仿宋_GB2312" w:cs="DengXian-Regular"/>
          <w:sz w:val="32"/>
          <w:szCs w:val="32"/>
          <w:lang w:val="en-US" w:eastAsia="zh-CN"/>
        </w:rPr>
        <w:t>石家庄市藁城区第九中学初中部并入石家庄市藁城区第九中学帐户，造成收入减少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92</w:t>
      </w:r>
      <w:r>
        <w:rPr>
          <w:rFonts w:hint="eastAsia" w:ascii="仿宋_GB2312" w:hAnsi="Times New Roman" w:eastAsia="仿宋_GB2312" w:cs="DengXian-Regular"/>
          <w:sz w:val="32"/>
          <w:szCs w:val="32"/>
        </w:rPr>
        <w:t>%,比年初预算</w:t>
      </w:r>
      <w:r>
        <w:rPr>
          <w:rFonts w:hint="eastAsia" w:ascii="仿宋_GB2312" w:hAnsi="Times New Roman" w:eastAsia="仿宋_GB2312" w:cs="DengXian-Regular"/>
          <w:sz w:val="32"/>
          <w:szCs w:val="32"/>
          <w:lang w:val="en-US" w:eastAsia="zh-CN"/>
        </w:rPr>
        <w:t>减少109.4</w:t>
      </w:r>
      <w:r>
        <w:rPr>
          <w:rFonts w:hint="eastAsia" w:ascii="仿宋_GB2312" w:hAnsi="Times New Roman" w:eastAsia="仿宋_GB2312" w:cs="DengXian-Regular"/>
          <w:sz w:val="32"/>
          <w:szCs w:val="32"/>
        </w:rPr>
        <w:t>万，决算数</w:t>
      </w:r>
      <w:r>
        <w:rPr>
          <w:rFonts w:hint="eastAsia" w:ascii="仿宋_GB2312" w:hAnsi="Times New Roman" w:eastAsia="仿宋_GB2312" w:cs="DengXian-Regular"/>
          <w:sz w:val="32"/>
          <w:szCs w:val="32"/>
          <w:lang w:val="en-US" w:eastAsia="zh-CN"/>
        </w:rPr>
        <w:t>小</w:t>
      </w:r>
      <w:r>
        <w:rPr>
          <w:rFonts w:hint="eastAsia" w:ascii="仿宋_GB2312" w:hAnsi="Times New Roman" w:eastAsia="仿宋_GB2312" w:cs="DengXian-Regular"/>
          <w:sz w:val="32"/>
          <w:szCs w:val="32"/>
        </w:rPr>
        <w:t>于预算数主要原因是主要是</w:t>
      </w:r>
      <w:r>
        <w:rPr>
          <w:rFonts w:hint="eastAsia" w:ascii="仿宋_GB2312" w:hAnsi="Times New Roman" w:eastAsia="仿宋_GB2312" w:cs="DengXian-Regular"/>
          <w:sz w:val="32"/>
          <w:szCs w:val="32"/>
          <w:lang w:val="en-US" w:eastAsia="zh-CN"/>
        </w:rPr>
        <w:t>石家庄市藁城区第九中学初中部并入石家庄市藁城区第九中学帐户，导致支出减少。</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92</w:t>
      </w:r>
      <w:r>
        <w:rPr>
          <w:rFonts w:hint="eastAsia" w:ascii="仿宋_GB2312" w:hAnsi="Times New Roman" w:eastAsia="仿宋_GB2312" w:cs="DengXian-Regular"/>
          <w:sz w:val="32"/>
          <w:szCs w:val="32"/>
        </w:rPr>
        <w:t>%,比年初预算</w:t>
      </w:r>
      <w:r>
        <w:rPr>
          <w:rFonts w:hint="eastAsia" w:ascii="仿宋_GB2312" w:hAnsi="Times New Roman" w:eastAsia="仿宋_GB2312" w:cs="DengXian-Regular"/>
          <w:sz w:val="32"/>
          <w:szCs w:val="32"/>
          <w:lang w:val="en-US" w:eastAsia="zh-CN"/>
        </w:rPr>
        <w:t>减少109.4</w:t>
      </w:r>
      <w:r>
        <w:rPr>
          <w:rFonts w:hint="eastAsia" w:ascii="仿宋_GB2312" w:hAnsi="Times New Roman" w:eastAsia="仿宋_GB2312" w:cs="DengXian-Regular"/>
          <w:sz w:val="32"/>
          <w:szCs w:val="32"/>
        </w:rPr>
        <w:t>万，</w:t>
      </w:r>
      <w:r>
        <w:rPr>
          <w:rFonts w:hint="eastAsia" w:ascii="仿宋_GB2312" w:hAnsi="Times New Roman" w:eastAsia="仿宋_GB2312" w:cs="DengXian-Regular"/>
          <w:sz w:val="32"/>
          <w:szCs w:val="32"/>
          <w:lang w:val="en-US" w:eastAsia="zh-CN"/>
        </w:rPr>
        <w:t>小</w:t>
      </w:r>
      <w:r>
        <w:rPr>
          <w:rFonts w:hint="eastAsia" w:ascii="仿宋_GB2312" w:hAnsi="Times New Roman" w:eastAsia="仿宋_GB2312" w:cs="DengXian-Regular"/>
          <w:sz w:val="32"/>
          <w:szCs w:val="32"/>
        </w:rPr>
        <w:t>于预算数主要原因是主要是</w:t>
      </w:r>
      <w:r>
        <w:rPr>
          <w:rFonts w:hint="eastAsia" w:ascii="仿宋_GB2312" w:hAnsi="Times New Roman" w:eastAsia="仿宋_GB2312" w:cs="DengXian-Regular"/>
          <w:sz w:val="32"/>
          <w:szCs w:val="32"/>
          <w:lang w:val="en-US" w:eastAsia="zh-CN"/>
        </w:rPr>
        <w:t>石家庄市藁城区第九中学初中部并入石家庄市藁城区第九中学帐户，造成收入减少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92</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109.4</w:t>
      </w:r>
      <w:r>
        <w:rPr>
          <w:rFonts w:hint="eastAsia" w:ascii="仿宋_GB2312" w:hAnsi="Times New Roman" w:eastAsia="仿宋_GB2312" w:cs="DengXian-Regular"/>
          <w:sz w:val="32"/>
          <w:szCs w:val="32"/>
        </w:rPr>
        <w:t>万，算数大于预算数主要原因是</w:t>
      </w:r>
      <w:r>
        <w:rPr>
          <w:rFonts w:hint="eastAsia" w:ascii="仿宋_GB2312" w:hAnsi="Times New Roman" w:eastAsia="仿宋_GB2312" w:cs="DengXian-Regular"/>
          <w:sz w:val="32"/>
          <w:szCs w:val="32"/>
          <w:lang w:val="en-US" w:eastAsia="zh-CN"/>
        </w:rPr>
        <w:t>石家庄市藁城区第九中学初中部并入石家庄市藁城区第九中学帐户，导致支出减少</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2.政府性基金预算财政拨款本年收入完成年初预算0%，比年初预算增加0万元；支出完成年初预算0%，比年初预算增加0万元。</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3.国有资本经营预算财政拨款本年收入完成年初预算0%，比年初预算增加0万元；支出完成年初预算0%，比年初预算增加0万元。</w:t>
      </w: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drawing>
          <wp:anchor distT="0" distB="0" distL="114300" distR="114300" simplePos="0" relativeHeight="251678720" behindDoc="1" locked="0" layoutInCell="1" allowOverlap="1">
            <wp:simplePos x="0" y="0"/>
            <wp:positionH relativeFrom="column">
              <wp:posOffset>286385</wp:posOffset>
            </wp:positionH>
            <wp:positionV relativeFrom="paragraph">
              <wp:posOffset>212090</wp:posOffset>
            </wp:positionV>
            <wp:extent cx="5486400" cy="3200400"/>
            <wp:effectExtent l="0" t="0" r="19050" b="19050"/>
            <wp:wrapNone/>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numPr>
          <w:ilvl w:val="0"/>
          <w:numId w:val="2"/>
        </w:num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万元，全部用于教育支出，占100%，</w:t>
      </w:r>
      <w:r>
        <w:rPr>
          <w:rFonts w:ascii="仿宋_GB2312" w:hAnsi="Times New Roman" w:eastAsia="仿宋_GB2312" w:cs="DengXian-Regular"/>
          <w:sz w:val="32"/>
          <w:szCs w:val="32"/>
        </w:rPr>
        <w:t xml:space="preserve"> </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w:t>
      </w:r>
      <w:r>
        <w:rPr>
          <w:rFonts w:hint="eastAsia" w:ascii="仿宋_GB2312" w:hAnsi="Times New Roman" w:eastAsia="仿宋_GB2312" w:cs="DengXian-Regular"/>
          <w:sz w:val="32"/>
          <w:szCs w:val="32"/>
          <w:lang w:val="en-US" w:eastAsia="zh-CN"/>
        </w:rPr>
        <w:t>1260.26</w:t>
      </w:r>
      <w:r>
        <w:rPr>
          <w:rFonts w:hint="eastAsia" w:ascii="仿宋_GB2312" w:hAnsi="Times New Roman" w:eastAsia="仿宋_GB2312" w:cs="DengXian-Regular"/>
          <w:sz w:val="32"/>
          <w:szCs w:val="32"/>
        </w:rPr>
        <w:t>万元，主要包括基本工资、津贴补贴、奖金、绩效工资、机关事业单位基本养老保险缴费、职业年金缴费、职工基本医疗保险缴费、公务员医疗补助缴费、住房公积金、其他社会保障缴费、生活补助。</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公用经费 </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p>
    <w:p>
      <w:pPr>
        <w:adjustRightInd w:val="0"/>
        <w:snapToGrid w:val="0"/>
        <w:spacing w:line="580" w:lineRule="exact"/>
        <w:ind w:firstLine="640" w:firstLineChars="200"/>
        <w:rPr>
          <w:rFonts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2021年度“三公”经费财政拨款支出预算为0万元，支出决算为0万元，完成预算的0%,较预算增加0万元，增长0%；较2020年度决算增加0万元，增长0%。</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2021年度因公出国（境）费支出预算为0万元，支出决算0万元，完成预算的0%。其中因公出国（境）团组0个、共0人、参加其他单位组织的因公出国（境）团组0个、共0人</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无本单位组织的出国（境）团组。因公出国（境）费支出较预算增加0万元，增长0%；较上年增加0万元，增长0%。</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2021年度公务用车购置及运行维护费预算为0万元，支出决算0万元，完成预算的0%。较预算减少0万元，降低0%；较上年减少0万元，降低0%原因是未发生此类支出。</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rPr>
        <w:t>0万元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2021年度公务用车购置量0辆，发生“公务用车购置”经费支出0万元。公务用车购置费支出较预算增加0万元，增长0%,主要是未发生此类支出；较上年增加0万元，增长0%,主要是未发生此类支出。</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2021年度单位公务用车保有量0辆。公车运行维护费支出较预算增加0万元，增长0%,主要是0；较上年增加0万元，增长0%，主要是未发生此类支出。</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接待费支出预算为0，支出决算0万元，完成预算的0%。本年度共发生公务接待0批次、0人次。公务接待费支出较预算增加0万元，降低0%,主要是未发生此类支出；较上年度减少0万元，降低0%,主要是未发生此类支出。</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Times New Roman" w:eastAsia="仿宋_GB2312" w:cs="DengXian-Regular"/>
          <w:sz w:val="32"/>
          <w:szCs w:val="32"/>
          <w:lang w:val="en-US"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个，二级项目0个，共涉及资金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仿宋_GB2312" w:eastAsia="仿宋_GB2312" w:cs="仿宋_GB2312"/>
          <w:sz w:val="32"/>
          <w:szCs w:val="32"/>
        </w:rPr>
        <w:t>在今年</w:t>
      </w:r>
      <w:r>
        <w:rPr>
          <w:rFonts w:hint="eastAsia" w:ascii="仿宋_GB2312" w:hAnsi="Times New Roman" w:eastAsia="仿宋_GB2312" w:cs="DengXian-Regular"/>
          <w:sz w:val="32"/>
          <w:szCs w:val="32"/>
          <w:lang w:val="en-US" w:eastAsia="zh-CN"/>
        </w:rPr>
        <w:t>单位</w:t>
      </w:r>
      <w:r>
        <w:rPr>
          <w:rFonts w:hint="eastAsia" w:ascii="仿宋_GB2312" w:hAnsi="仿宋_GB2312" w:eastAsia="仿宋_GB2312" w:cs="仿宋_GB2312"/>
          <w:sz w:val="32"/>
          <w:szCs w:val="32"/>
        </w:rPr>
        <w:t>决算公开中</w:t>
      </w:r>
      <w:r>
        <w:rPr>
          <w:rFonts w:hint="eastAsia" w:ascii="仿宋_GB2312" w:hAnsi="仿宋_GB2312" w:eastAsia="仿宋_GB2312" w:cs="仿宋_GB2312"/>
          <w:sz w:val="32"/>
          <w:szCs w:val="32"/>
          <w:lang w:val="en-US" w:eastAsia="zh-CN"/>
        </w:rPr>
        <w:t>无项目支出。</w:t>
      </w:r>
    </w:p>
    <w:p>
      <w:pPr>
        <w:adjustRightInd w:val="0"/>
        <w:snapToGrid w:val="0"/>
        <w:spacing w:line="580" w:lineRule="exact"/>
        <w:ind w:firstLine="321" w:firstLineChars="1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（三）财政评价项目绩效评价结果</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2021年度机关运行经费支出0万元，比2020年度增加0万元，增长0%。主要原因是无此类支出发生。</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单位2021年无政府采购</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共有车辆0辆，比上年增加0辆。其中，副部（省）级及以上领导用车0辆，主要领导干部用车0辆，机要通信用车0辆，应急保障用车0辆，执法执勤用车0辆，特种专业技术用车0辆，离退休干部用车0辆，其他用车0辆；</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万元以上通用设备0台（套），比上年增加0套，主要是没有此类设备，单位价值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万元以上专用设备0台（套）比上年增加0套，主要是没有此类设备。</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 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2021年度无收支及结转结余情况，故收支结余表以空表列示。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 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9">
                      <a:extLst>
                        <a:ext uri="{96DAC541-7B7A-43D3-8B79-37D633B846F1}">
                          <asvg:svgBlip xmlns:asvg="http://schemas.microsoft.com/office/drawing/2016/SVG/main" r:embed="rId30"/>
                        </a:ext>
                      </a:extLst>
                    </a:blip>
                    <a:stretch>
                      <a:fillRect/>
                    </a:stretch>
                  </pic:blipFill>
                  <pic:spPr>
                    <a:xfrm>
                      <a:off x="0" y="0"/>
                      <a:ext cx="640080" cy="640080"/>
                    </a:xfrm>
                    <a:prstGeom prst="rect">
                      <a:avLst/>
                    </a:prstGeom>
                  </pic:spPr>
                </pic:pic>
              </a:graphicData>
            </a:graphic>
          </wp:anchor>
        </w:drawing>
      </w: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EB501"/>
    <w:multiLevelType w:val="singleLevel"/>
    <w:tmpl w:val="B18EB501"/>
    <w:lvl w:ilvl="0" w:tentative="0">
      <w:start w:val="1"/>
      <w:numFmt w:val="decimal"/>
      <w:lvlText w:val="%1."/>
      <w:lvlJc w:val="left"/>
      <w:pPr>
        <w:tabs>
          <w:tab w:val="left" w:pos="312"/>
        </w:tabs>
      </w:pPr>
    </w:lvl>
  </w:abstractNum>
  <w:abstractNum w:abstractNumId="1">
    <w:nsid w:val="45DB9A87"/>
    <w:multiLevelType w:val="singleLevel"/>
    <w:tmpl w:val="45DB9A87"/>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jMsImhkaWQiOiJmMmMyNTFmZWU0OTk0MDVmMmIxNjE1ZDc4ZDFjNTBhNiIsInVzZXJDb3VudCI6MX0="/>
  </w:docVars>
  <w:rsids>
    <w:rsidRoot w:val="00172A27"/>
    <w:rsid w:val="000031F7"/>
    <w:rsid w:val="00014862"/>
    <w:rsid w:val="00044429"/>
    <w:rsid w:val="00083FDD"/>
    <w:rsid w:val="00172A27"/>
    <w:rsid w:val="0019528D"/>
    <w:rsid w:val="001C447C"/>
    <w:rsid w:val="00214685"/>
    <w:rsid w:val="00282DF8"/>
    <w:rsid w:val="002F63F3"/>
    <w:rsid w:val="0031348C"/>
    <w:rsid w:val="003B10E9"/>
    <w:rsid w:val="003B32DD"/>
    <w:rsid w:val="003E1D60"/>
    <w:rsid w:val="00426E64"/>
    <w:rsid w:val="004550B9"/>
    <w:rsid w:val="004B1D17"/>
    <w:rsid w:val="0051575E"/>
    <w:rsid w:val="005B2633"/>
    <w:rsid w:val="00632C0F"/>
    <w:rsid w:val="00643B9F"/>
    <w:rsid w:val="00663586"/>
    <w:rsid w:val="00677916"/>
    <w:rsid w:val="00785280"/>
    <w:rsid w:val="007A25BC"/>
    <w:rsid w:val="007B4464"/>
    <w:rsid w:val="008239F9"/>
    <w:rsid w:val="00896712"/>
    <w:rsid w:val="008E5668"/>
    <w:rsid w:val="009117C7"/>
    <w:rsid w:val="009718A8"/>
    <w:rsid w:val="009810FB"/>
    <w:rsid w:val="00A63A57"/>
    <w:rsid w:val="00A66109"/>
    <w:rsid w:val="00AA2517"/>
    <w:rsid w:val="00B14488"/>
    <w:rsid w:val="00B31C29"/>
    <w:rsid w:val="00B760E6"/>
    <w:rsid w:val="00B86E38"/>
    <w:rsid w:val="00C21492"/>
    <w:rsid w:val="00C418F5"/>
    <w:rsid w:val="00CE4C2D"/>
    <w:rsid w:val="00CE755E"/>
    <w:rsid w:val="00D264B9"/>
    <w:rsid w:val="00DA0B17"/>
    <w:rsid w:val="00DF42C4"/>
    <w:rsid w:val="00DF688D"/>
    <w:rsid w:val="00E110A2"/>
    <w:rsid w:val="00E669B9"/>
    <w:rsid w:val="00E86E79"/>
    <w:rsid w:val="00F71859"/>
    <w:rsid w:val="00FC3F68"/>
    <w:rsid w:val="018E53BB"/>
    <w:rsid w:val="01B752BF"/>
    <w:rsid w:val="02F2691F"/>
    <w:rsid w:val="05273E55"/>
    <w:rsid w:val="06EB1AB6"/>
    <w:rsid w:val="099D6B31"/>
    <w:rsid w:val="09FD66D9"/>
    <w:rsid w:val="0ED214FA"/>
    <w:rsid w:val="10B242CF"/>
    <w:rsid w:val="11F4604E"/>
    <w:rsid w:val="136D16FB"/>
    <w:rsid w:val="13AA21BF"/>
    <w:rsid w:val="1A3D2C72"/>
    <w:rsid w:val="203B37F6"/>
    <w:rsid w:val="216937C4"/>
    <w:rsid w:val="21775132"/>
    <w:rsid w:val="298605CB"/>
    <w:rsid w:val="2CEF036C"/>
    <w:rsid w:val="308B0D67"/>
    <w:rsid w:val="32A31C4C"/>
    <w:rsid w:val="32B53CA7"/>
    <w:rsid w:val="33CD2241"/>
    <w:rsid w:val="34967CFD"/>
    <w:rsid w:val="39C2416B"/>
    <w:rsid w:val="3B744E3E"/>
    <w:rsid w:val="3DC91A1B"/>
    <w:rsid w:val="3F235BB1"/>
    <w:rsid w:val="3F663581"/>
    <w:rsid w:val="42A44BF6"/>
    <w:rsid w:val="4571549B"/>
    <w:rsid w:val="471274FD"/>
    <w:rsid w:val="49717ADD"/>
    <w:rsid w:val="4A51609B"/>
    <w:rsid w:val="4C194D3B"/>
    <w:rsid w:val="4D304C6C"/>
    <w:rsid w:val="4F2A6A41"/>
    <w:rsid w:val="500373A2"/>
    <w:rsid w:val="533E0A94"/>
    <w:rsid w:val="53AD746D"/>
    <w:rsid w:val="561769D4"/>
    <w:rsid w:val="58D844B0"/>
    <w:rsid w:val="59FD5DAF"/>
    <w:rsid w:val="5EE45754"/>
    <w:rsid w:val="5F4A1A8C"/>
    <w:rsid w:val="60075621"/>
    <w:rsid w:val="602001C2"/>
    <w:rsid w:val="60CE32E1"/>
    <w:rsid w:val="629331D7"/>
    <w:rsid w:val="64C00985"/>
    <w:rsid w:val="65225D26"/>
    <w:rsid w:val="65DB5CBA"/>
    <w:rsid w:val="674E6C15"/>
    <w:rsid w:val="67636EEB"/>
    <w:rsid w:val="697609B2"/>
    <w:rsid w:val="69F4671F"/>
    <w:rsid w:val="6CBF282C"/>
    <w:rsid w:val="73335BEE"/>
    <w:rsid w:val="734B3BFA"/>
    <w:rsid w:val="73753308"/>
    <w:rsid w:val="78726082"/>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1"/>
    <w:unhideWhenUsed/>
    <w:qFormat/>
    <w:uiPriority w:val="99"/>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8">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4.svg"/><Relationship Id="rId3" Type="http://schemas.openxmlformats.org/officeDocument/2006/relationships/header" Target="header1.xml"/><Relationship Id="rId29" Type="http://schemas.openxmlformats.org/officeDocument/2006/relationships/image" Target="media/image13.png"/><Relationship Id="rId28" Type="http://schemas.openxmlformats.org/officeDocument/2006/relationships/chart" Target="charts/chart4.xml"/><Relationship Id="rId27" Type="http://schemas.openxmlformats.org/officeDocument/2006/relationships/chart" Target="charts/chart3.xml"/><Relationship Id="rId26" Type="http://schemas.openxmlformats.org/officeDocument/2006/relationships/chart" Target="charts/chart2.xml"/><Relationship Id="rId25" Type="http://schemas.openxmlformats.org/officeDocument/2006/relationships/chart" Target="charts/chart1.xml"/><Relationship Id="rId24" Type="http://schemas.openxmlformats.org/officeDocument/2006/relationships/image" Target="media/image12.svg"/><Relationship Id="rId23" Type="http://schemas.openxmlformats.org/officeDocument/2006/relationships/image" Target="media/image11.png"/><Relationship Id="rId22" Type="http://schemas.openxmlformats.org/officeDocument/2006/relationships/image" Target="media/image10.svg"/><Relationship Id="rId21" Type="http://schemas.openxmlformats.org/officeDocument/2006/relationships/image" Target="media/image9.png"/><Relationship Id="rId20" Type="http://schemas.openxmlformats.org/officeDocument/2006/relationships/image" Target="media/image8.sv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svg"/><Relationship Id="rId17" Type="http://schemas.openxmlformats.org/officeDocument/2006/relationships/image" Target="media/image5.png"/><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sv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收入</c:v>
                </c:pt>
              </c:strCache>
            </c:strRef>
          </c:tx>
          <c:spPr>
            <a:solidFill>
              <a:schemeClr val="accent1"/>
            </a:solidFill>
            <a:ln>
              <a:noFill/>
            </a:ln>
            <a:effectLst/>
          </c:spPr>
          <c:invertIfNegative val="0"/>
          <c:dLbls>
            <c:delete val="1"/>
          </c:dLbls>
          <c:cat>
            <c:strRef>
              <c:f>Sheet1!$A$2:$A$3</c:f>
              <c:strCache>
                <c:ptCount val="2"/>
                <c:pt idx="0">
                  <c:v>2020年收支</c:v>
                </c:pt>
                <c:pt idx="1">
                  <c:v>2021年收支</c:v>
                </c:pt>
              </c:strCache>
            </c:strRef>
          </c:cat>
          <c:val>
            <c:numRef>
              <c:f>Sheet1!$B$2:$B$3</c:f>
              <c:numCache>
                <c:formatCode>General</c:formatCode>
                <c:ptCount val="2"/>
                <c:pt idx="0">
                  <c:v>1880.8</c:v>
                </c:pt>
                <c:pt idx="1">
                  <c:v>1260.26</c:v>
                </c:pt>
              </c:numCache>
            </c:numRef>
          </c:val>
        </c:ser>
        <c:ser>
          <c:idx val="1"/>
          <c:order val="1"/>
          <c:tx>
            <c:strRef>
              <c:f>Sheet1!$C$1</c:f>
              <c:strCache>
                <c:ptCount val="1"/>
                <c:pt idx="0">
                  <c:v>支出</c:v>
                </c:pt>
              </c:strCache>
            </c:strRef>
          </c:tx>
          <c:spPr>
            <a:solidFill>
              <a:schemeClr val="accent2"/>
            </a:solidFill>
            <a:ln>
              <a:noFill/>
            </a:ln>
            <a:effectLst/>
          </c:spPr>
          <c:invertIfNegative val="0"/>
          <c:dLbls>
            <c:delete val="1"/>
          </c:dLbls>
          <c:cat>
            <c:strRef>
              <c:f>Sheet1!$A$2:$A$3</c:f>
              <c:strCache>
                <c:ptCount val="2"/>
                <c:pt idx="0">
                  <c:v>2020年收支</c:v>
                </c:pt>
                <c:pt idx="1">
                  <c:v>2021年收支</c:v>
                </c:pt>
              </c:strCache>
            </c:strRef>
          </c:cat>
          <c:val>
            <c:numRef>
              <c:f>Sheet1!$C$2:$C$3</c:f>
              <c:numCache>
                <c:formatCode>General</c:formatCode>
                <c:ptCount val="2"/>
                <c:pt idx="0">
                  <c:v>1880.8</c:v>
                </c:pt>
                <c:pt idx="1">
                  <c:v>1260.26</c:v>
                </c:pt>
              </c:numCache>
            </c:numRef>
          </c:val>
        </c:ser>
        <c:dLbls>
          <c:showLegendKey val="0"/>
          <c:showVal val="0"/>
          <c:showCatName val="0"/>
          <c:showSerName val="0"/>
          <c:showPercent val="0"/>
          <c:showBubbleSize val="0"/>
        </c:dLbls>
        <c:gapWidth val="219"/>
        <c:overlap val="-27"/>
        <c:axId val="136633856"/>
        <c:axId val="78808192"/>
      </c:barChart>
      <c:catAx>
        <c:axId val="136633856"/>
        <c:scaling>
          <c:orientation val="minMax"/>
        </c:scaling>
        <c:delete val="0"/>
        <c:axPos val="b"/>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8808192"/>
        <c:crosses val="autoZero"/>
        <c:auto val="1"/>
        <c:lblAlgn val="ctr"/>
        <c:lblOffset val="100"/>
        <c:noMultiLvlLbl val="0"/>
      </c:catAx>
      <c:valAx>
        <c:axId val="78808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6633856"/>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支出</c:v>
                </c:pt>
              </c:strCache>
            </c:strRef>
          </c:tx>
          <c:explosion val="0"/>
          <c:dPt>
            <c:idx val="0"/>
            <c:bubble3D val="0"/>
          </c:dPt>
          <c:dPt>
            <c:idx val="1"/>
            <c:bubble3D val="0"/>
          </c:dPt>
          <c:dLbls>
            <c:delete val="1"/>
          </c:dLbls>
          <c:cat>
            <c:strRef>
              <c:f>Sheet1!$A$2:$A$3</c:f>
              <c:strCache>
                <c:ptCount val="2"/>
                <c:pt idx="0">
                  <c:v>基本支出</c:v>
                </c:pt>
                <c:pt idx="1">
                  <c:v>项目支出</c:v>
                </c:pt>
              </c:strCache>
            </c:strRef>
          </c:cat>
          <c:val>
            <c:numRef>
              <c:f>Sheet1!$B$2:$B$3</c:f>
              <c:numCache>
                <c:formatCode>General</c:formatCode>
                <c:ptCount val="2"/>
                <c:pt idx="0">
                  <c:v>1260.26</c:v>
                </c:pt>
                <c:pt idx="1">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636684303351"/>
          <c:y val="0.094287680660702"/>
          <c:w val="0.563386243386243"/>
          <c:h val="0.448497361780225"/>
        </c:manualLayout>
      </c:layout>
      <c:barChart>
        <c:barDir val="col"/>
        <c:grouping val="clustered"/>
        <c:varyColors val="0"/>
        <c:ser>
          <c:idx val="0"/>
          <c:order val="0"/>
          <c:tx>
            <c:strRef>
              <c:f>Sheet1!$B$1</c:f>
              <c:strCache>
                <c:ptCount val="1"/>
                <c:pt idx="0">
                  <c:v>2021年</c:v>
                </c:pt>
              </c:strCache>
            </c:strRef>
          </c:tx>
          <c:invertIfNegative val="0"/>
          <c:dLbls>
            <c:delete val="1"/>
          </c:dLbls>
          <c:cat>
            <c:strRef>
              <c:f>Sheet1!$A$2:$A$4</c:f>
              <c:strCache>
                <c:ptCount val="3"/>
                <c:pt idx="0">
                  <c:v>一般公共预算财政拨款</c:v>
                </c:pt>
                <c:pt idx="1">
                  <c:v>政府性基金预算财政拨款</c:v>
                </c:pt>
                <c:pt idx="2">
                  <c:v>国有资本经营预算财政拨款</c:v>
                </c:pt>
              </c:strCache>
            </c:strRef>
          </c:cat>
          <c:val>
            <c:numRef>
              <c:f>Sheet1!$B$2:$B$4</c:f>
              <c:numCache>
                <c:formatCode>General</c:formatCode>
                <c:ptCount val="3"/>
                <c:pt idx="0">
                  <c:v>1346.7</c:v>
                </c:pt>
                <c:pt idx="1">
                  <c:v>0</c:v>
                </c:pt>
                <c:pt idx="2">
                  <c:v>0</c:v>
                </c:pt>
              </c:numCache>
            </c:numRef>
          </c:val>
        </c:ser>
        <c:ser>
          <c:idx val="1"/>
          <c:order val="1"/>
          <c:tx>
            <c:strRef>
              <c:f>Sheet1!$C$1</c:f>
              <c:strCache>
                <c:ptCount val="1"/>
                <c:pt idx="0">
                  <c:v>2020年</c:v>
                </c:pt>
              </c:strCache>
            </c:strRef>
          </c:tx>
          <c:invertIfNegative val="0"/>
          <c:dLbls>
            <c:delete val="1"/>
          </c:dLbls>
          <c:cat>
            <c:strRef>
              <c:f>Sheet1!$A$2:$A$4</c:f>
              <c:strCache>
                <c:ptCount val="3"/>
                <c:pt idx="0">
                  <c:v>一般公共预算财政拨款</c:v>
                </c:pt>
                <c:pt idx="1">
                  <c:v>政府性基金预算财政拨款</c:v>
                </c:pt>
                <c:pt idx="2">
                  <c:v>国有资本经营预算财政拨款</c:v>
                </c:pt>
              </c:strCache>
            </c:strRef>
          </c:cat>
          <c:val>
            <c:numRef>
              <c:f>Sheet1!$C$2:$C$4</c:f>
              <c:numCache>
                <c:formatCode>General</c:formatCode>
                <c:ptCount val="3"/>
                <c:pt idx="0">
                  <c:v>1442.15</c:v>
                </c:pt>
                <c:pt idx="1">
                  <c:v>0</c:v>
                </c:pt>
                <c:pt idx="2">
                  <c:v>0</c:v>
                </c:pt>
              </c:numCache>
            </c:numRef>
          </c:val>
        </c:ser>
        <c:dLbls>
          <c:showLegendKey val="0"/>
          <c:showVal val="0"/>
          <c:showCatName val="0"/>
          <c:showSerName val="0"/>
          <c:showPercent val="0"/>
          <c:showBubbleSize val="0"/>
        </c:dLbls>
        <c:gapWidth val="150"/>
        <c:axId val="86701568"/>
        <c:axId val="78813376"/>
      </c:barChart>
      <c:catAx>
        <c:axId val="86701568"/>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78813376"/>
        <c:crosses val="autoZero"/>
        <c:auto val="1"/>
        <c:lblAlgn val="ctr"/>
        <c:lblOffset val="100"/>
        <c:noMultiLvlLbl val="0"/>
      </c:catAx>
      <c:valAx>
        <c:axId val="78813376"/>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86701568"/>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年初预算</c:v>
                </c:pt>
              </c:strCache>
            </c:strRef>
          </c:tx>
          <c:invertIfNegative val="0"/>
          <c:dLbls>
            <c:delete val="1"/>
          </c:dLbls>
          <c:cat>
            <c:strRef>
              <c:f>Sheet1!$A$2:$A$4</c:f>
              <c:strCache>
                <c:ptCount val="3"/>
                <c:pt idx="0">
                  <c:v>一般公共预算财政拨款</c:v>
                </c:pt>
                <c:pt idx="1">
                  <c:v>政府性基金预算财政拨款</c:v>
                </c:pt>
                <c:pt idx="2">
                  <c:v>国有资本经营预算财政拨款</c:v>
                </c:pt>
              </c:strCache>
            </c:strRef>
          </c:cat>
          <c:val>
            <c:numRef>
              <c:f>Sheet1!$B$2:$B$4</c:f>
              <c:numCache>
                <c:formatCode>General</c:formatCode>
                <c:ptCount val="3"/>
                <c:pt idx="0">
                  <c:v>1369.66</c:v>
                </c:pt>
                <c:pt idx="1">
                  <c:v>0</c:v>
                </c:pt>
                <c:pt idx="2">
                  <c:v>0</c:v>
                </c:pt>
              </c:numCache>
            </c:numRef>
          </c:val>
        </c:ser>
        <c:ser>
          <c:idx val="1"/>
          <c:order val="1"/>
          <c:tx>
            <c:strRef>
              <c:f>Sheet1!$C$1</c:f>
              <c:strCache>
                <c:ptCount val="1"/>
                <c:pt idx="0">
                  <c:v>实际拨付</c:v>
                </c:pt>
              </c:strCache>
            </c:strRef>
          </c:tx>
          <c:invertIfNegative val="0"/>
          <c:dLbls>
            <c:delete val="1"/>
          </c:dLbls>
          <c:cat>
            <c:strRef>
              <c:f>Sheet1!$A$2:$A$4</c:f>
              <c:strCache>
                <c:ptCount val="3"/>
                <c:pt idx="0">
                  <c:v>一般公共预算财政拨款</c:v>
                </c:pt>
                <c:pt idx="1">
                  <c:v>政府性基金预算财政拨款</c:v>
                </c:pt>
                <c:pt idx="2">
                  <c:v>国有资本经营预算财政拨款</c:v>
                </c:pt>
              </c:strCache>
            </c:strRef>
          </c:cat>
          <c:val>
            <c:numRef>
              <c:f>Sheet1!$C$2:$C$4</c:f>
              <c:numCache>
                <c:formatCode>General</c:formatCode>
                <c:ptCount val="3"/>
                <c:pt idx="0">
                  <c:v>1260.26</c:v>
                </c:pt>
                <c:pt idx="1">
                  <c:v>0</c:v>
                </c:pt>
                <c:pt idx="2">
                  <c:v>0</c:v>
                </c:pt>
              </c:numCache>
            </c:numRef>
          </c:val>
        </c:ser>
        <c:dLbls>
          <c:showLegendKey val="0"/>
          <c:showVal val="0"/>
          <c:showCatName val="0"/>
          <c:showSerName val="0"/>
          <c:showPercent val="0"/>
          <c:showBubbleSize val="0"/>
        </c:dLbls>
        <c:gapWidth val="150"/>
        <c:axId val="109078016"/>
        <c:axId val="128893504"/>
      </c:barChart>
      <c:catAx>
        <c:axId val="109078016"/>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28893504"/>
        <c:crosses val="autoZero"/>
        <c:auto val="1"/>
        <c:lblAlgn val="ctr"/>
        <c:lblOffset val="100"/>
        <c:noMultiLvlLbl val="0"/>
      </c:catAx>
      <c:valAx>
        <c:axId val="128893504"/>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9078016"/>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0.35692</cdr:x>
      <cdr:y>0.14555</cdr:y>
    </cdr:from>
    <cdr:to>
      <cdr:x>0.40094</cdr:x>
      <cdr:y>0.16064</cdr:y>
    </cdr:to>
    <cdr:cxnSp>
      <cdr:nvCxnSpPr>
        <cdr:cNvPr id="2" name="直接箭头连接符 1"/>
        <cdr:cNvCxnSpPr/>
      </cdr:nvCxnSpPr>
      <cdr:spPr xmlns:a="http://schemas.openxmlformats.org/drawingml/2006/main">
        <a:xfrm xmlns:a="http://schemas.openxmlformats.org/drawingml/2006/main">
          <a:off x="1958197" y="465826"/>
          <a:ext cx="241539" cy="48284"/>
        </a:xfrm>
        <a:prstGeom xmlns:a="http://schemas.openxmlformats.org/drawingml/2006/main" prst="straightConnector1">
          <a:avLst/>
        </a:prstGeom>
        <a:ln>
          <a:tailEnd type="arrow"/>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9B58C3-B64B-44A5-8108-7AEAA9EAC1D1}">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18</Pages>
  <Words>4232</Words>
  <Characters>4566</Characters>
  <Lines>34</Lines>
  <Paragraphs>9</Paragraphs>
  <TotalTime>44</TotalTime>
  <ScaleCrop>false</ScaleCrop>
  <LinksUpToDate>false</LinksUpToDate>
  <CharactersWithSpaces>4610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流星雨</cp:lastModifiedBy>
  <dcterms:modified xsi:type="dcterms:W3CDTF">2023-07-25T09:57:10Z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1515CEFC20754C3380B382230295B456</vt:lpwstr>
  </property>
</Properties>
</file>