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3.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360006</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石家庄市藁城区工业路小学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360006</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石家庄市藁城区工业路小学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val="en-US" w:eastAsia="zh-CN"/>
        </w:rPr>
        <w:t>单位</w:t>
      </w:r>
      <w:bookmarkStart w:id="0" w:name="_GoBack"/>
      <w:bookmarkEnd w:id="0"/>
      <w:r>
        <w:rPr>
          <w:rFonts w:hint="eastAsia" w:ascii="黑体" w:eastAsia="黑体" w:cs="黑体"/>
          <w:b w:val="0"/>
          <w:bCs w:val="0"/>
          <w:kern w:val="0"/>
          <w:sz w:val="32"/>
          <w:szCs w:val="32"/>
        </w:rPr>
        <w:t>职责</w:t>
      </w:r>
    </w:p>
    <w:p>
      <w:pPr>
        <w:ind w:firstLine="560" w:firstLineChars="200"/>
        <w:rPr>
          <w:rFonts w:hint="eastAsia" w:ascii="楷体_GB2312" w:hAnsi="仿宋" w:eastAsia="楷体_GB2312"/>
          <w:b/>
          <w:sz w:val="32"/>
          <w:szCs w:val="32"/>
        </w:rPr>
      </w:pPr>
      <w:r>
        <w:rPr>
          <w:rFonts w:hint="eastAsia"/>
          <w:sz w:val="28"/>
          <w:szCs w:val="28"/>
        </w:rPr>
        <w:t>石家庄藁城区</w:t>
      </w:r>
      <w:r>
        <w:rPr>
          <w:rFonts w:hint="eastAsia"/>
          <w:sz w:val="28"/>
          <w:szCs w:val="28"/>
          <w:lang w:val="en-US" w:eastAsia="zh-CN"/>
        </w:rPr>
        <w:t>工业路</w:t>
      </w:r>
      <w:r>
        <w:rPr>
          <w:rFonts w:hint="eastAsia"/>
          <w:sz w:val="28"/>
          <w:szCs w:val="28"/>
        </w:rPr>
        <w:t>小学是藁城区教育局直属六年制义务教育学校，主要职责是组织教育教学、教育科学研究活动，保证教育教学质量。维护教职工利益，保障教职工合法权益，以教职工和学生的人生幸福和生命质量作为重点。</w:t>
      </w:r>
    </w:p>
    <w:p>
      <w:pPr>
        <w:keepNext/>
        <w:keepLines/>
        <w:numPr>
          <w:ilvl w:val="0"/>
          <w:numId w:val="1"/>
        </w:numPr>
        <w:spacing w:line="580" w:lineRule="exact"/>
        <w:ind w:firstLine="640" w:firstLineChars="200"/>
        <w:jc w:val="left"/>
        <w:outlineLvl w:val="0"/>
        <w:rPr>
          <w:rFonts w:hint="eastAsia" w:ascii="黑体" w:hAnsi="Calibri" w:eastAsia="黑体" w:cs="黑体"/>
          <w:kern w:val="0"/>
          <w:sz w:val="32"/>
          <w:szCs w:val="32"/>
        </w:rPr>
      </w:pPr>
      <w:r>
        <w:rPr>
          <w:rFonts w:hint="eastAsia" w:ascii="黑体" w:hAnsi="Calibri" w:eastAsia="黑体" w:cs="黑体"/>
          <w:kern w:val="0"/>
          <w:sz w:val="32"/>
          <w:szCs w:val="32"/>
        </w:rPr>
        <w:t>机构设置</w:t>
      </w:r>
    </w:p>
    <w:p>
      <w:pPr>
        <w:keepNext/>
        <w:keepLines/>
        <w:numPr>
          <w:ilvl w:val="0"/>
          <w:numId w:val="0"/>
        </w:numPr>
        <w:spacing w:line="580" w:lineRule="exact"/>
        <w:ind w:firstLine="560" w:firstLineChars="200"/>
        <w:jc w:val="left"/>
        <w:outlineLvl w:val="0"/>
        <w:rPr>
          <w:rFonts w:hint="eastAsia" w:ascii="黑体" w:hAnsi="Calibri" w:eastAsia="黑体" w:cs="黑体"/>
          <w:kern w:val="0"/>
          <w:sz w:val="32"/>
          <w:szCs w:val="32"/>
        </w:rPr>
      </w:pPr>
      <w:r>
        <w:rPr>
          <w:rFonts w:hint="eastAsia"/>
          <w:sz w:val="28"/>
          <w:szCs w:val="28"/>
        </w:rPr>
        <w:t>从决算编报单位构成看，纳入2021年度本</w:t>
      </w:r>
      <w:r>
        <w:rPr>
          <w:rFonts w:hint="eastAsia"/>
          <w:sz w:val="28"/>
          <w:szCs w:val="28"/>
          <w:lang w:val="en-US" w:eastAsia="zh-CN"/>
        </w:rPr>
        <w:t>单位</w:t>
      </w:r>
      <w:r>
        <w:rPr>
          <w:rFonts w:hint="eastAsia"/>
          <w:sz w:val="28"/>
          <w:szCs w:val="28"/>
        </w:rPr>
        <w:t>决算汇编范围的独立核算单位（以下简称“单位”）共</w:t>
      </w:r>
      <w:r>
        <w:rPr>
          <w:rFonts w:hint="eastAsia"/>
          <w:sz w:val="28"/>
          <w:szCs w:val="28"/>
          <w:lang w:val="en-US" w:eastAsia="zh-CN"/>
        </w:rPr>
        <w:t>1</w:t>
      </w:r>
      <w:r>
        <w:rPr>
          <w:rFonts w:hint="eastAsia"/>
          <w:sz w:val="28"/>
          <w:szCs w:val="28"/>
        </w:rPr>
        <w:t>个，具体情况如下：</w:t>
      </w:r>
    </w:p>
    <w:tbl>
      <w:tblPr>
        <w:tblStyle w:val="6"/>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tcBorders>
              <w:top w:val="single" w:color="auto" w:sz="4" w:space="0"/>
              <w:left w:val="nil"/>
              <w:bottom w:val="nil"/>
              <w:right w:val="nil"/>
            </w:tcBorders>
          </w:tcPr>
          <w:tbl>
            <w:tblPr>
              <w:tblStyle w:val="5"/>
              <w:tblW w:w="853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Layout w:type="fixed"/>
              <w:tblCellMar>
                <w:top w:w="0" w:type="dxa"/>
                <w:left w:w="108" w:type="dxa"/>
                <w:bottom w:w="0" w:type="dxa"/>
                <w:right w:w="108" w:type="dxa"/>
              </w:tblCellMar>
            </w:tblPr>
            <w:tblGrid>
              <w:gridCol w:w="1108"/>
              <w:gridCol w:w="3402"/>
              <w:gridCol w:w="1475"/>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CellMar>
                  <w:top w:w="0" w:type="dxa"/>
                  <w:left w:w="108" w:type="dxa"/>
                  <w:bottom w:w="0" w:type="dxa"/>
                  <w:right w:w="108" w:type="dxa"/>
                </w:tblCellMar>
              </w:tblPrEx>
              <w:trPr>
                <w:trHeight w:val="956" w:hRule="atLeast"/>
                <w:jc w:val="center"/>
              </w:trPr>
              <w:tc>
                <w:tcPr>
                  <w:tcW w:w="11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eastAsia" w:ascii="黑体" w:hAnsi="宋体" w:eastAsia="黑体" w:cs="黑体"/>
                      <w:b/>
                      <w:bCs w:val="0"/>
                      <w:kern w:val="2"/>
                      <w:sz w:val="18"/>
                      <w:szCs w:val="18"/>
                    </w:rPr>
                  </w:pPr>
                  <w:r>
                    <w:rPr>
                      <w:rFonts w:hint="eastAsia" w:ascii="黑体" w:hAnsi="宋体" w:eastAsia="黑体" w:cs="黑体"/>
                      <w:b/>
                      <w:bCs w:val="0"/>
                      <w:kern w:val="2"/>
                      <w:sz w:val="18"/>
                      <w:szCs w:val="18"/>
                      <w:lang w:val="en-US" w:eastAsia="zh-CN" w:bidi="ar"/>
                    </w:rPr>
                    <w:t>单位编码</w:t>
                  </w:r>
                </w:p>
              </w:tc>
              <w:tc>
                <w:tcPr>
                  <w:tcW w:w="340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val="0"/>
                    <w:suppressLineNumbers w:val="0"/>
                    <w:spacing w:before="0" w:beforeAutospacing="0" w:after="0" w:afterAutospacing="0"/>
                    <w:ind w:left="0" w:right="0" w:firstLine="361"/>
                    <w:jc w:val="center"/>
                    <w:rPr>
                      <w:rFonts w:hint="eastAsia" w:ascii="黑体" w:hAnsi="宋体" w:eastAsia="黑体" w:cs="黑体"/>
                      <w:b/>
                      <w:bCs w:val="0"/>
                      <w:kern w:val="2"/>
                      <w:sz w:val="18"/>
                      <w:szCs w:val="18"/>
                    </w:rPr>
                  </w:pPr>
                  <w:r>
                    <w:rPr>
                      <w:rFonts w:hint="eastAsia" w:ascii="黑体" w:hAnsi="宋体" w:eastAsia="黑体" w:cs="黑体"/>
                      <w:b/>
                      <w:bCs w:val="0"/>
                      <w:kern w:val="2"/>
                      <w:sz w:val="18"/>
                      <w:szCs w:val="18"/>
                      <w:lang w:val="en-US" w:eastAsia="zh-CN" w:bidi="ar"/>
                    </w:rPr>
                    <w:t>单位名称</w:t>
                  </w:r>
                </w:p>
              </w:tc>
              <w:tc>
                <w:tcPr>
                  <w:tcW w:w="147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eastAsia" w:ascii="黑体" w:hAnsi="宋体" w:eastAsia="黑体" w:cs="黑体"/>
                      <w:b/>
                      <w:bCs w:val="0"/>
                      <w:kern w:val="2"/>
                      <w:sz w:val="18"/>
                      <w:szCs w:val="18"/>
                    </w:rPr>
                  </w:pPr>
                  <w:r>
                    <w:rPr>
                      <w:rFonts w:hint="eastAsia" w:ascii="黑体" w:hAnsi="宋体" w:eastAsia="黑体" w:cs="黑体"/>
                      <w:b/>
                      <w:bCs w:val="0"/>
                      <w:kern w:val="2"/>
                      <w:sz w:val="18"/>
                      <w:szCs w:val="18"/>
                      <w:lang w:val="en-US" w:eastAsia="zh-CN" w:bidi="ar"/>
                    </w:rPr>
                    <w:t>单位性质</w:t>
                  </w:r>
                </w:p>
              </w:tc>
              <w:tc>
                <w:tcPr>
                  <w:tcW w:w="2551"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val="0"/>
                    <w:suppressLineNumbers w:val="0"/>
                    <w:spacing w:before="0" w:beforeAutospacing="0" w:after="0" w:afterAutospacing="0"/>
                    <w:ind w:left="0" w:right="0" w:firstLine="361"/>
                    <w:jc w:val="center"/>
                    <w:rPr>
                      <w:rFonts w:hint="eastAsia" w:ascii="黑体" w:hAnsi="宋体" w:eastAsia="黑体" w:cs="黑体"/>
                      <w:b/>
                      <w:bCs w:val="0"/>
                      <w:kern w:val="2"/>
                      <w:sz w:val="18"/>
                      <w:szCs w:val="18"/>
                    </w:rPr>
                  </w:pPr>
                  <w:r>
                    <w:rPr>
                      <w:rFonts w:hint="eastAsia" w:ascii="黑体" w:hAnsi="宋体" w:eastAsia="黑体" w:cs="黑体"/>
                      <w:b/>
                      <w:bCs w:val="0"/>
                      <w:kern w:val="2"/>
                      <w:sz w:val="18"/>
                      <w:szCs w:val="18"/>
                      <w:lang w:val="en-US" w:eastAsia="zh-CN" w:bidi="ar"/>
                    </w:rPr>
                    <w:t>财政供给政策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CellMar>
                  <w:top w:w="0" w:type="dxa"/>
                  <w:left w:w="108" w:type="dxa"/>
                  <w:bottom w:w="0" w:type="dxa"/>
                  <w:right w:w="108" w:type="dxa"/>
                </w:tblCellMar>
              </w:tblPrEx>
              <w:trPr>
                <w:trHeight w:val="311" w:hRule="atLeast"/>
                <w:jc w:val="center"/>
              </w:trPr>
              <w:tc>
                <w:tcPr>
                  <w:tcW w:w="1108" w:type="dxa"/>
                  <w:tcBorders>
                    <w:top w:val="single" w:color="000000" w:sz="6" w:space="0"/>
                    <w:left w:val="single" w:color="000000" w:sz="6" w:space="0"/>
                    <w:bottom w:val="single" w:color="000000" w:sz="6" w:space="0"/>
                    <w:right w:val="single" w:color="000000" w:sz="6" w:space="0"/>
                  </w:tcBorders>
                  <w:shd w:val="clear" w:color="auto" w:fill="auto"/>
                  <w:vAlign w:val="top"/>
                </w:tcPr>
                <w:p>
                  <w:pPr>
                    <w:keepNext w:val="0"/>
                    <w:keepLines w:val="0"/>
                    <w:widowControl w:val="0"/>
                    <w:suppressLineNumbers w:val="0"/>
                    <w:spacing w:before="0" w:beforeAutospacing="0" w:after="0" w:afterAutospacing="0"/>
                    <w:ind w:left="0" w:right="0"/>
                    <w:jc w:val="left"/>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360006</w:t>
                  </w:r>
                </w:p>
              </w:tc>
              <w:tc>
                <w:tcPr>
                  <w:tcW w:w="340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val="0"/>
                    <w:suppressLineNumbers w:val="0"/>
                    <w:spacing w:before="0" w:beforeAutospacing="0" w:after="0" w:afterAutospacing="0" w:line="300" w:lineRule="exact"/>
                    <w:ind w:left="0" w:right="0"/>
                    <w:jc w:val="left"/>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石家庄市藁城区工业路小学</w:t>
                  </w:r>
                </w:p>
              </w:tc>
              <w:tc>
                <w:tcPr>
                  <w:tcW w:w="1475" w:type="dxa"/>
                  <w:tcBorders>
                    <w:top w:val="single" w:color="000000" w:sz="6" w:space="0"/>
                    <w:left w:val="single" w:color="000000" w:sz="6" w:space="0"/>
                    <w:bottom w:val="single" w:color="000000" w:sz="6" w:space="0"/>
                    <w:right w:val="single" w:color="000000" w:sz="6"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4"/>
                      <w:szCs w:val="24"/>
                    </w:rPr>
                  </w:pPr>
                  <w:r>
                    <w:rPr>
                      <w:rFonts w:hint="eastAsia" w:ascii="仿宋" w:hAnsi="仿宋" w:eastAsia="仿宋" w:cs="仿宋"/>
                      <w:kern w:val="2"/>
                      <w:sz w:val="21"/>
                      <w:szCs w:val="21"/>
                      <w:lang w:val="en-US" w:eastAsia="zh-CN" w:bidi="ar"/>
                    </w:rPr>
                    <w:t>财政补助事业单位</w:t>
                  </w:r>
                </w:p>
              </w:tc>
              <w:tc>
                <w:tcPr>
                  <w:tcW w:w="2551" w:type="dxa"/>
                  <w:tcBorders>
                    <w:top w:val="single" w:color="000000" w:sz="6" w:space="0"/>
                    <w:left w:val="single" w:color="000000" w:sz="6" w:space="0"/>
                    <w:bottom w:val="single" w:color="000000" w:sz="6" w:space="0"/>
                    <w:right w:val="single" w:color="000000" w:sz="6" w:space="0"/>
                  </w:tcBorders>
                  <w:shd w:val="clear" w:color="auto" w:fill="auto"/>
                  <w:vAlign w:val="top"/>
                </w:tcPr>
                <w:p>
                  <w:pPr>
                    <w:keepNext w:val="0"/>
                    <w:keepLines w:val="0"/>
                    <w:widowControl w:val="0"/>
                    <w:suppressLineNumbers w:val="0"/>
                    <w:spacing w:before="0" w:beforeAutospacing="0" w:after="0" w:afterAutospacing="0"/>
                    <w:ind w:left="0" w:right="0"/>
                    <w:jc w:val="left"/>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财政拨款</w:t>
                  </w:r>
                </w:p>
              </w:tc>
            </w:tr>
          </w:tbl>
          <w:p>
            <w:pPr>
              <w:spacing w:line="560" w:lineRule="exact"/>
              <w:ind w:firstLine="560" w:firstLineChars="200"/>
              <w:jc w:val="left"/>
              <w:rPr>
                <w:rFonts w:ascii="仿宋_GB2312" w:hAnsi="Calibri" w:eastAsia="仿宋_GB2312" w:cs="ArialUnicodeMS"/>
                <w:kern w:val="0"/>
                <w:sz w:val="28"/>
                <w:szCs w:val="28"/>
              </w:rPr>
            </w:pPr>
          </w:p>
        </w:tc>
      </w:tr>
    </w:tbl>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widowControl/>
        <w:spacing w:after="160" w:line="580" w:lineRule="exact"/>
        <w:ind w:firstLine="560" w:firstLineChars="200"/>
        <w:rPr>
          <w:rFonts w:ascii="Times New Roman" w:hAnsi="Times New Roman" w:eastAsia="黑体" w:cs="Times New Roman"/>
          <w:sz w:val="32"/>
          <w:szCs w:val="32"/>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400050</wp:posOffset>
            </wp:positionH>
            <wp:positionV relativeFrom="margin">
              <wp:posOffset>229870</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579120" cy="579120"/>
                    </a:xfrm>
                    <a:prstGeom prst="rect">
                      <a:avLst/>
                    </a:prstGeom>
                  </pic:spPr>
                </pic:pic>
              </a:graphicData>
            </a:graphic>
          </wp:anchor>
        </w:drawing>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0528"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lang w:val="en-US" w:eastAsia="zh-CN"/>
        </w:rPr>
        <w:t>我校</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年度收</w:t>
      </w:r>
      <w:r>
        <w:rPr>
          <w:rFonts w:hint="eastAsia" w:ascii="仿宋" w:hAnsi="仿宋" w:eastAsia="仿宋" w:cs="仿宋"/>
          <w:sz w:val="32"/>
          <w:szCs w:val="32"/>
          <w:lang w:eastAsia="zh-CN"/>
        </w:rPr>
        <w:t>支</w:t>
      </w:r>
      <w:r>
        <w:rPr>
          <w:rFonts w:hint="eastAsia" w:ascii="仿宋" w:hAnsi="仿宋" w:eastAsia="仿宋" w:cs="仿宋"/>
          <w:sz w:val="32"/>
          <w:szCs w:val="32"/>
        </w:rPr>
        <w:t>总计</w:t>
      </w:r>
      <w:r>
        <w:rPr>
          <w:rFonts w:hint="eastAsia" w:ascii="仿宋_GB2312" w:hAnsi="Times New Roman" w:eastAsia="仿宋_GB2312" w:cs="Wingdings"/>
          <w:sz w:val="32"/>
          <w:szCs w:val="32"/>
        </w:rPr>
        <w:t>（含结转和结余）</w:t>
      </w:r>
      <w:r>
        <w:rPr>
          <w:rFonts w:hint="eastAsia" w:ascii="仿宋_GB2312" w:hAnsi="仿宋_GB2312" w:eastAsia="仿宋_GB2312"/>
          <w:sz w:val="32"/>
          <w:lang w:val="en-US" w:eastAsia="zh-CN"/>
        </w:rPr>
        <w:t>1697.76</w:t>
      </w:r>
      <w:r>
        <w:rPr>
          <w:rFonts w:hint="eastAsia" w:ascii="仿宋" w:hAnsi="仿宋" w:eastAsia="仿宋" w:cs="仿宋"/>
          <w:sz w:val="32"/>
          <w:szCs w:val="32"/>
        </w:rPr>
        <w:t>万元。与2</w:t>
      </w:r>
      <w:r>
        <w:rPr>
          <w:rFonts w:hint="eastAsia" w:ascii="仿宋" w:hAnsi="仿宋" w:eastAsia="仿宋" w:cs="仿宋"/>
          <w:sz w:val="32"/>
          <w:szCs w:val="32"/>
          <w:lang w:val="en-US" w:eastAsia="zh-CN"/>
        </w:rPr>
        <w:t>020</w:t>
      </w:r>
      <w:r>
        <w:rPr>
          <w:rFonts w:hint="eastAsia" w:ascii="仿宋" w:hAnsi="仿宋" w:eastAsia="仿宋" w:cs="仿宋"/>
          <w:sz w:val="32"/>
          <w:szCs w:val="32"/>
        </w:rPr>
        <w:t>年度决算相比，</w:t>
      </w:r>
      <w:r>
        <w:rPr>
          <w:rFonts w:hint="eastAsia" w:ascii="仿宋" w:hAnsi="仿宋" w:eastAsia="仿宋" w:cs="仿宋"/>
          <w:color w:val="000000"/>
          <w:sz w:val="32"/>
          <w:szCs w:val="32"/>
        </w:rPr>
        <w:t>收</w:t>
      </w:r>
      <w:r>
        <w:rPr>
          <w:rFonts w:hint="eastAsia" w:ascii="仿宋" w:hAnsi="仿宋" w:eastAsia="仿宋" w:cs="仿宋"/>
          <w:color w:val="000000"/>
          <w:sz w:val="32"/>
          <w:szCs w:val="32"/>
          <w:lang w:eastAsia="zh-CN"/>
        </w:rPr>
        <w:t>支</w:t>
      </w:r>
      <w:r>
        <w:rPr>
          <w:rFonts w:hint="eastAsia" w:ascii="仿宋" w:hAnsi="仿宋" w:eastAsia="仿宋" w:cs="仿宋"/>
          <w:color w:val="000000"/>
          <w:sz w:val="32"/>
          <w:szCs w:val="32"/>
          <w:lang w:val="en-US" w:eastAsia="zh-CN"/>
        </w:rPr>
        <w:t>减少45.87</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降低2.7</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收支减少原因是体育馆项目建设主体完工，支出减少。</w:t>
      </w:r>
    </w:p>
    <w:p>
      <w:pPr>
        <w:adjustRightInd w:val="0"/>
        <w:snapToGrid w:val="0"/>
        <w:spacing w:line="58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drawing>
          <wp:anchor distT="0" distB="0" distL="114300" distR="114300" simplePos="0" relativeHeight="251672576" behindDoc="0" locked="0" layoutInCell="1" allowOverlap="1">
            <wp:simplePos x="0" y="0"/>
            <wp:positionH relativeFrom="column">
              <wp:posOffset>896620</wp:posOffset>
            </wp:positionH>
            <wp:positionV relativeFrom="paragraph">
              <wp:posOffset>149225</wp:posOffset>
            </wp:positionV>
            <wp:extent cx="3584575" cy="2458085"/>
            <wp:effectExtent l="4445" t="4445" r="11430" b="13970"/>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keepNext/>
        <w:keepLines/>
        <w:snapToGrid w:val="0"/>
        <w:spacing w:line="580" w:lineRule="exact"/>
        <w:ind w:firstLine="640" w:firstLineChars="200"/>
        <w:outlineLvl w:val="1"/>
        <w:rPr>
          <w:rFonts w:hint="eastAsia" w:ascii="仿宋_GB2312" w:hAnsi="Times New Roman" w:eastAsia="仿宋_GB2312" w:cs="Wingdings"/>
          <w:color w:val="000000"/>
          <w:sz w:val="32"/>
          <w:szCs w:val="32"/>
          <w:lang w:eastAsia="zh-CN"/>
        </w:rPr>
      </w:pPr>
      <w:r>
        <w:rPr>
          <w:rFonts w:hint="eastAsia" w:ascii="仿宋_GB2312" w:hAnsi="Times New Roman" w:eastAsia="仿宋_GB2312" w:cs="Wingdings"/>
          <w:sz w:val="32"/>
          <w:szCs w:val="32"/>
        </w:rPr>
        <w:t>本</w:t>
      </w:r>
      <w:r>
        <w:rPr>
          <w:rFonts w:hint="eastAsia" w:ascii="仿宋_GB2312" w:hAnsi="Times New Roman" w:eastAsia="仿宋_GB2312" w:cs="Wingdings"/>
          <w:color w:val="000000"/>
          <w:sz w:val="32"/>
          <w:szCs w:val="32"/>
          <w:lang w:val="en-US" w:eastAsia="zh-CN"/>
        </w:rPr>
        <w:t>单位</w:t>
      </w:r>
      <w:r>
        <w:rPr>
          <w:rFonts w:hint="eastAsia" w:ascii="仿宋_GB2312" w:hAnsi="Times New Roman" w:eastAsia="仿宋_GB2312" w:cs="Wingdings"/>
          <w:color w:val="000000"/>
          <w:sz w:val="32"/>
          <w:szCs w:val="32"/>
        </w:rPr>
        <w:t>202</w:t>
      </w:r>
      <w:r>
        <w:rPr>
          <w:rFonts w:hint="eastAsia" w:ascii="仿宋_GB2312" w:hAnsi="Times New Roman" w:eastAsia="仿宋_GB2312" w:cs="Wingdings"/>
          <w:color w:val="000000"/>
          <w:sz w:val="32"/>
          <w:szCs w:val="32"/>
          <w:lang w:val="en-US" w:eastAsia="zh-CN"/>
        </w:rPr>
        <w:t>1</w:t>
      </w:r>
      <w:r>
        <w:rPr>
          <w:rFonts w:hint="eastAsia" w:ascii="仿宋_GB2312" w:hAnsi="Times New Roman" w:eastAsia="仿宋_GB2312" w:cs="Wingdings"/>
          <w:color w:val="000000"/>
          <w:sz w:val="32"/>
          <w:szCs w:val="32"/>
        </w:rPr>
        <w:t>年度本年收入合计</w:t>
      </w:r>
      <w:r>
        <w:rPr>
          <w:rFonts w:hint="eastAsia" w:ascii="仿宋_GB2312" w:hAnsi="仿宋_GB2312" w:eastAsia="仿宋_GB2312"/>
          <w:sz w:val="32"/>
          <w:lang w:val="en-US" w:eastAsia="zh-CN"/>
        </w:rPr>
        <w:t>1697.76</w:t>
      </w:r>
      <w:r>
        <w:rPr>
          <w:rFonts w:hint="eastAsia" w:ascii="仿宋_GB2312" w:hAnsi="Times New Roman" w:eastAsia="仿宋_GB2312" w:cs="Wingdings"/>
          <w:color w:val="000000"/>
          <w:sz w:val="32"/>
          <w:szCs w:val="32"/>
        </w:rPr>
        <w:t>万元，其中：财政拨款收入</w:t>
      </w:r>
      <w:r>
        <w:rPr>
          <w:rFonts w:hint="eastAsia" w:ascii="仿宋_GB2312" w:hAnsi="仿宋_GB2312" w:eastAsia="仿宋_GB2312"/>
          <w:sz w:val="32"/>
          <w:lang w:val="en-US" w:eastAsia="zh-CN"/>
        </w:rPr>
        <w:t>1697.76</w:t>
      </w:r>
      <w:r>
        <w:rPr>
          <w:rFonts w:hint="eastAsia" w:ascii="仿宋_GB2312" w:hAnsi="Times New Roman" w:eastAsia="仿宋_GB2312" w:cs="Wingdings"/>
          <w:color w:val="000000"/>
          <w:sz w:val="32"/>
          <w:szCs w:val="32"/>
        </w:rPr>
        <w:t>万元</w:t>
      </w:r>
      <w:r>
        <w:rPr>
          <w:rFonts w:hint="eastAsia" w:ascii="仿宋_GB2312" w:hAnsi="Times New Roman" w:eastAsia="仿宋_GB2312" w:cs="Wingdings"/>
          <w:color w:val="000000"/>
          <w:sz w:val="32"/>
          <w:szCs w:val="32"/>
          <w:lang w:eastAsia="zh-CN"/>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600" w:lineRule="exact"/>
        <w:ind w:firstLine="640" w:firstLineChars="200"/>
        <w:rPr>
          <w:rFonts w:hint="eastAsia" w:ascii="仿宋_GB2312" w:hAnsi="Times New Roman" w:eastAsia="仿宋_GB2312" w:cs="Wingdings"/>
          <w:sz w:val="32"/>
          <w:szCs w:val="32"/>
        </w:rPr>
      </w:pPr>
      <w:r>
        <w:rPr>
          <w:rFonts w:hint="eastAsia" w:ascii="仿宋_GB2312" w:hAnsi="Times New Roman" w:eastAsia="仿宋_GB2312" w:cs="Wingdings"/>
          <w:sz w:val="32"/>
          <w:szCs w:val="32"/>
          <w:lang w:eastAsia="zh-CN"/>
        </w:rPr>
        <w:drawing>
          <wp:anchor distT="0" distB="0" distL="114300" distR="114300" simplePos="0" relativeHeight="251673600" behindDoc="0" locked="0" layoutInCell="1" allowOverlap="1">
            <wp:simplePos x="0" y="0"/>
            <wp:positionH relativeFrom="column">
              <wp:posOffset>1362710</wp:posOffset>
            </wp:positionH>
            <wp:positionV relativeFrom="paragraph">
              <wp:posOffset>852805</wp:posOffset>
            </wp:positionV>
            <wp:extent cx="2718435" cy="1628775"/>
            <wp:effectExtent l="4445" t="4445" r="20320" b="508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hint="eastAsia" w:ascii="仿宋_GB2312" w:hAnsi="Times New Roman" w:eastAsia="仿宋_GB2312" w:cs="Wingdings"/>
          <w:sz w:val="32"/>
          <w:szCs w:val="32"/>
        </w:rPr>
        <w:t>本</w:t>
      </w:r>
      <w:r>
        <w:rPr>
          <w:rFonts w:hint="eastAsia" w:ascii="仿宋_GB2312" w:hAnsi="Times New Roman" w:eastAsia="仿宋_GB2312" w:cs="Wingdings"/>
          <w:sz w:val="32"/>
          <w:szCs w:val="32"/>
          <w:lang w:val="en-US" w:eastAsia="zh-CN"/>
        </w:rPr>
        <w:t>单位</w:t>
      </w:r>
      <w:r>
        <w:rPr>
          <w:rFonts w:hint="eastAsia" w:ascii="仿宋_GB2312" w:hAnsi="Times New Roman" w:eastAsia="仿宋_GB2312" w:cs="Wingdings"/>
          <w:sz w:val="32"/>
          <w:szCs w:val="32"/>
        </w:rPr>
        <w:t>202</w:t>
      </w:r>
      <w:r>
        <w:rPr>
          <w:rFonts w:hint="eastAsia" w:ascii="仿宋_GB2312" w:hAnsi="Times New Roman" w:eastAsia="仿宋_GB2312" w:cs="Wingdings"/>
          <w:sz w:val="32"/>
          <w:szCs w:val="32"/>
          <w:lang w:val="en-US" w:eastAsia="zh-CN"/>
        </w:rPr>
        <w:t>1</w:t>
      </w:r>
      <w:r>
        <w:rPr>
          <w:rFonts w:hint="eastAsia" w:ascii="仿宋_GB2312" w:hAnsi="Times New Roman" w:eastAsia="仿宋_GB2312" w:cs="Wingdings"/>
          <w:sz w:val="32"/>
          <w:szCs w:val="32"/>
        </w:rPr>
        <w:t>年度本年支出合计</w:t>
      </w:r>
      <w:r>
        <w:rPr>
          <w:rFonts w:hint="eastAsia" w:ascii="仿宋_GB2312" w:hAnsi="仿宋_GB2312" w:eastAsia="仿宋_GB2312"/>
          <w:sz w:val="32"/>
          <w:lang w:val="en-US" w:eastAsia="zh-CN"/>
        </w:rPr>
        <w:t>1697.76</w:t>
      </w:r>
      <w:r>
        <w:rPr>
          <w:rFonts w:hint="eastAsia" w:ascii="仿宋_GB2312" w:hAnsi="Times New Roman" w:eastAsia="仿宋_GB2312" w:cs="Wingdings"/>
          <w:sz w:val="32"/>
          <w:szCs w:val="32"/>
        </w:rPr>
        <w:t>万元，其中：基本支出</w:t>
      </w:r>
      <w:r>
        <w:rPr>
          <w:rFonts w:hint="eastAsia" w:ascii="仿宋_GB2312" w:hAnsi="Times New Roman" w:eastAsia="仿宋_GB2312" w:cs="Wingdings"/>
          <w:sz w:val="32"/>
          <w:szCs w:val="32"/>
          <w:lang w:val="en-US" w:eastAsia="zh-CN"/>
        </w:rPr>
        <w:t>1447.56</w:t>
      </w:r>
      <w:r>
        <w:rPr>
          <w:rFonts w:hint="eastAsia" w:ascii="仿宋_GB2312" w:hAnsi="Times New Roman" w:eastAsia="仿宋_GB2312" w:cs="Wingdings"/>
          <w:sz w:val="32"/>
          <w:szCs w:val="32"/>
        </w:rPr>
        <w:t>万元，占</w:t>
      </w:r>
      <w:r>
        <w:rPr>
          <w:rFonts w:hint="eastAsia" w:ascii="仿宋_GB2312" w:hAnsi="Times New Roman" w:eastAsia="仿宋_GB2312" w:cs="Wingdings"/>
          <w:sz w:val="32"/>
          <w:szCs w:val="32"/>
          <w:lang w:val="en-US" w:eastAsia="zh-CN"/>
        </w:rPr>
        <w:t>85.3</w:t>
      </w:r>
      <w:r>
        <w:rPr>
          <w:rFonts w:hint="eastAsia" w:ascii="仿宋_GB2312" w:hAnsi="Times New Roman" w:eastAsia="仿宋_GB2312" w:cs="Wingdings"/>
          <w:sz w:val="32"/>
          <w:szCs w:val="32"/>
        </w:rPr>
        <w:t>%；项目支出</w:t>
      </w:r>
      <w:r>
        <w:rPr>
          <w:rFonts w:hint="eastAsia" w:ascii="仿宋_GB2312" w:hAnsi="Times New Roman" w:eastAsia="仿宋_GB2312" w:cs="Wingdings"/>
          <w:sz w:val="32"/>
          <w:szCs w:val="32"/>
          <w:lang w:val="en-US" w:eastAsia="zh-CN"/>
        </w:rPr>
        <w:t>250.21</w:t>
      </w:r>
      <w:r>
        <w:rPr>
          <w:rFonts w:hint="eastAsia" w:ascii="仿宋_GB2312" w:hAnsi="Times New Roman" w:eastAsia="仿宋_GB2312" w:cs="Wingdings"/>
          <w:sz w:val="32"/>
          <w:szCs w:val="32"/>
        </w:rPr>
        <w:t>万元，占</w:t>
      </w:r>
      <w:r>
        <w:rPr>
          <w:rFonts w:hint="eastAsia" w:ascii="仿宋_GB2312" w:hAnsi="Times New Roman" w:eastAsia="仿宋_GB2312" w:cs="Wingdings"/>
          <w:sz w:val="32"/>
          <w:szCs w:val="32"/>
          <w:lang w:val="en-US" w:eastAsia="zh-CN"/>
        </w:rPr>
        <w:t>14.7</w:t>
      </w:r>
      <w:r>
        <w:rPr>
          <w:rFonts w:hint="eastAsia" w:ascii="仿宋_GB2312" w:hAnsi="Times New Roman" w:eastAsia="仿宋_GB2312" w:cs="Wingdings"/>
          <w:sz w:val="32"/>
          <w:szCs w:val="32"/>
        </w:rPr>
        <w:t>%；</w:t>
      </w:r>
    </w:p>
    <w:p>
      <w:pPr>
        <w:adjustRightInd w:val="0"/>
        <w:snapToGrid w:val="0"/>
        <w:spacing w:line="600" w:lineRule="exact"/>
        <w:ind w:firstLine="640" w:firstLineChars="200"/>
        <w:rPr>
          <w:rFonts w:hint="eastAsia" w:ascii="仿宋_GB2312" w:hAnsi="Times New Roman" w:eastAsia="仿宋_GB2312" w:cs="Wingdings"/>
          <w:sz w:val="32"/>
          <w:szCs w:val="32"/>
          <w:lang w:eastAsia="zh-CN"/>
        </w:rPr>
      </w:pP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2021年度一般公共预算财财政拨款本年收入</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45.87</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2.6</w:t>
      </w:r>
      <w:r>
        <w:rPr>
          <w:rFonts w:hint="eastAsia" w:ascii="仿宋_GB2312" w:hAnsi="Times New Roman" w:eastAsia="仿宋_GB2312" w:cs="DengXian-Regular"/>
          <w:sz w:val="32"/>
          <w:szCs w:val="32"/>
        </w:rPr>
        <w:t>%，主要是本年度建设项目</w:t>
      </w:r>
      <w:r>
        <w:rPr>
          <w:rFonts w:hint="eastAsia" w:ascii="仿宋_GB2312" w:hAnsi="Times New Roman" w:eastAsia="仿宋_GB2312" w:cs="DengXian-Regular"/>
          <w:sz w:val="32"/>
          <w:szCs w:val="32"/>
          <w:lang w:val="en-US" w:eastAsia="zh-CN"/>
        </w:rPr>
        <w:t>减少</w:t>
      </w:r>
      <w:r>
        <w:rPr>
          <w:rFonts w:hint="eastAsia" w:ascii="仿宋_GB2312" w:hAnsi="Times New Roman" w:eastAsia="仿宋_GB2312" w:cs="DengXian-Regular"/>
          <w:sz w:val="32"/>
          <w:szCs w:val="32"/>
        </w:rPr>
        <w:t>所以资本性支出</w:t>
      </w:r>
      <w:r>
        <w:rPr>
          <w:rFonts w:hint="eastAsia" w:ascii="仿宋_GB2312" w:hAnsi="Times New Roman" w:eastAsia="仿宋_GB2312" w:cs="DengXian-Regular"/>
          <w:sz w:val="32"/>
          <w:szCs w:val="32"/>
          <w:lang w:val="en-US" w:eastAsia="zh-CN"/>
        </w:rPr>
        <w:t>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45.87</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2.6</w:t>
      </w:r>
      <w:r>
        <w:rPr>
          <w:rFonts w:hint="eastAsia" w:ascii="仿宋_GB2312" w:hAnsi="Times New Roman" w:eastAsia="仿宋_GB2312" w:cs="DengXian-Regular"/>
          <w:sz w:val="32"/>
          <w:szCs w:val="32"/>
        </w:rPr>
        <w:t>%，是本年度建设项目</w:t>
      </w:r>
      <w:r>
        <w:rPr>
          <w:rFonts w:hint="eastAsia" w:ascii="仿宋_GB2312" w:hAnsi="Times New Roman" w:eastAsia="仿宋_GB2312" w:cs="DengXian-Regular"/>
          <w:sz w:val="32"/>
          <w:szCs w:val="32"/>
          <w:lang w:val="en-US" w:eastAsia="zh-CN"/>
        </w:rPr>
        <w:t>减少</w:t>
      </w:r>
      <w:r>
        <w:rPr>
          <w:rFonts w:hint="eastAsia" w:ascii="仿宋_GB2312" w:hAnsi="Times New Roman" w:eastAsia="仿宋_GB2312" w:cs="DengXian-Regular"/>
          <w:sz w:val="32"/>
          <w:szCs w:val="32"/>
        </w:rPr>
        <w:t>所以资本性支出</w:t>
      </w:r>
      <w:r>
        <w:rPr>
          <w:rFonts w:hint="eastAsia" w:ascii="仿宋_GB2312" w:hAnsi="Times New Roman" w:eastAsia="仿宋_GB2312" w:cs="DengXian-Regular"/>
          <w:sz w:val="32"/>
          <w:szCs w:val="32"/>
          <w:lang w:val="en-US" w:eastAsia="zh-CN"/>
        </w:rPr>
        <w:t>减少</w:t>
      </w:r>
      <w:r>
        <w:rPr>
          <w:rFonts w:hint="eastAsia" w:ascii="仿宋_GB2312" w:hAnsi="Times New Roman" w:eastAsia="仿宋_GB2312" w:cs="DengXian-Regular"/>
          <w:sz w:val="32"/>
          <w:szCs w:val="32"/>
        </w:rPr>
        <w:t>。</w:t>
      </w:r>
    </w:p>
    <w:p>
      <w:pPr>
        <w:snapToGrid w:val="0"/>
        <w:spacing w:line="580" w:lineRule="exact"/>
        <w:ind w:firstLine="640" w:firstLineChars="200"/>
        <w:rPr>
          <w:rFonts w:ascii="仿宋_GB2312" w:hAnsi="Times New Roman" w:eastAsia="仿宋_GB2312" w:cs="DengXian-Bold"/>
          <w:b/>
          <w:bCs/>
          <w:sz w:val="32"/>
          <w:szCs w:val="32"/>
        </w:rPr>
      </w:pPr>
      <w:r>
        <w:rPr>
          <w:rFonts w:hint="eastAsia" w:ascii="仿宋_GB2312" w:hAnsi="Times New Roman" w:eastAsia="仿宋_GB2312" w:cs="DengXian-Regular"/>
          <w:sz w:val="32"/>
          <w:szCs w:val="32"/>
          <w:lang w:eastAsia="zh-CN"/>
        </w:rPr>
        <w:drawing>
          <wp:anchor distT="0" distB="0" distL="114300" distR="114300" simplePos="0" relativeHeight="251676672" behindDoc="0" locked="0" layoutInCell="1" allowOverlap="1">
            <wp:simplePos x="0" y="0"/>
            <wp:positionH relativeFrom="column">
              <wp:posOffset>1028065</wp:posOffset>
            </wp:positionH>
            <wp:positionV relativeFrom="paragraph">
              <wp:posOffset>89535</wp:posOffset>
            </wp:positionV>
            <wp:extent cx="3580130" cy="2087880"/>
            <wp:effectExtent l="4445" t="5080" r="15875" b="21590"/>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122.0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306.29</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主要原因是人员经费拨款增加，以及年中上级追加资金。本年度支出1697.76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Wingdings"/>
          <w:sz w:val="32"/>
          <w:szCs w:val="32"/>
        </w:rPr>
        <w:t>完成年初预算的</w:t>
      </w:r>
      <w:r>
        <w:rPr>
          <w:rFonts w:hint="eastAsia" w:ascii="仿宋_GB2312" w:hAnsi="Times New Roman" w:eastAsia="仿宋_GB2312" w:cs="Wingdings"/>
          <w:sz w:val="32"/>
          <w:szCs w:val="32"/>
          <w:lang w:val="en-US" w:eastAsia="zh-CN"/>
        </w:rPr>
        <w:t>122.0</w:t>
      </w:r>
      <w:r>
        <w:rPr>
          <w:rFonts w:hint="eastAsia" w:ascii="仿宋_GB2312" w:hAnsi="Times New Roman" w:eastAsia="仿宋_GB2312" w:cs="Wingdings"/>
          <w:sz w:val="32"/>
          <w:szCs w:val="32"/>
        </w:rPr>
        <w:t>%</w:t>
      </w:r>
      <w:r>
        <w:rPr>
          <w:rFonts w:hint="eastAsia" w:ascii="仿宋_GB2312" w:hAnsi="Times New Roman" w:eastAsia="仿宋_GB2312" w:cs="Wingdings"/>
          <w:sz w:val="32"/>
          <w:szCs w:val="32"/>
          <w:lang w:eastAsia="zh-CN"/>
        </w:rPr>
        <w:t>，</w:t>
      </w:r>
      <w:r>
        <w:rPr>
          <w:rFonts w:hint="eastAsia" w:ascii="仿宋_GB2312" w:hAnsi="Times New Roman" w:eastAsia="仿宋_GB2312" w:cs="DengXian-Regular"/>
          <w:sz w:val="32"/>
          <w:szCs w:val="32"/>
          <w:lang w:val="en-US" w:eastAsia="zh-CN"/>
        </w:rPr>
        <w:t>比年初预算增加306.29万元，主要原因是人员经费拨款增加，以及学校功能室教学环境提升。</w:t>
      </w:r>
    </w:p>
    <w:p>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122.0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306.29</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主要原因是人员经费拨款增加，以及年中上级追加资金。本年度支出1697.76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Wingdings"/>
          <w:sz w:val="32"/>
          <w:szCs w:val="32"/>
        </w:rPr>
        <w:t>完成年初预算的</w:t>
      </w:r>
      <w:r>
        <w:rPr>
          <w:rFonts w:hint="eastAsia" w:ascii="仿宋_GB2312" w:hAnsi="Times New Roman" w:eastAsia="仿宋_GB2312" w:cs="Wingdings"/>
          <w:sz w:val="32"/>
          <w:szCs w:val="32"/>
          <w:lang w:val="en-US" w:eastAsia="zh-CN"/>
        </w:rPr>
        <w:t>122.0</w:t>
      </w:r>
      <w:r>
        <w:rPr>
          <w:rFonts w:hint="eastAsia" w:ascii="仿宋_GB2312" w:hAnsi="Times New Roman" w:eastAsia="仿宋_GB2312" w:cs="Wingdings"/>
          <w:sz w:val="32"/>
          <w:szCs w:val="32"/>
        </w:rPr>
        <w:t>%</w:t>
      </w:r>
      <w:r>
        <w:rPr>
          <w:rFonts w:hint="eastAsia" w:ascii="仿宋_GB2312" w:hAnsi="Times New Roman" w:eastAsia="仿宋_GB2312" w:cs="Wingdings"/>
          <w:sz w:val="32"/>
          <w:szCs w:val="32"/>
          <w:lang w:eastAsia="zh-CN"/>
        </w:rPr>
        <w:t>，</w:t>
      </w:r>
      <w:r>
        <w:rPr>
          <w:rFonts w:hint="eastAsia" w:ascii="仿宋_GB2312" w:hAnsi="Times New Roman" w:eastAsia="仿宋_GB2312" w:cs="DengXian-Regular"/>
          <w:sz w:val="32"/>
          <w:szCs w:val="32"/>
          <w:lang w:val="en-US" w:eastAsia="zh-CN"/>
        </w:rPr>
        <w:t>比年初预算增加306.29万元，主要原因是人员经费拨款增加，以及学校功能室教学环境提升。</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5648" behindDoc="0" locked="0" layoutInCell="1" allowOverlap="1">
            <wp:simplePos x="0" y="0"/>
            <wp:positionH relativeFrom="column">
              <wp:posOffset>1381760</wp:posOffset>
            </wp:positionH>
            <wp:positionV relativeFrom="paragraph">
              <wp:posOffset>217170</wp:posOffset>
            </wp:positionV>
            <wp:extent cx="3476625" cy="2282190"/>
            <wp:effectExtent l="4445" t="4445" r="5080" b="1841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pPr>
        <w:numPr>
          <w:ilvl w:val="0"/>
          <w:numId w:val="2"/>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万元，主要用于以下方面教育（类）支出</w:t>
      </w:r>
      <w:r>
        <w:rPr>
          <w:rFonts w:hint="eastAsia" w:ascii="仿宋_GB2312" w:hAnsi="Times New Roman" w:eastAsia="仿宋_GB2312" w:cs="DengXian-Regular"/>
          <w:sz w:val="32"/>
          <w:szCs w:val="32"/>
          <w:lang w:val="en-US" w:eastAsia="zh-CN"/>
        </w:rPr>
        <w:t>1697.76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人员经费、日常办公保障正常开展教学工作</w:t>
      </w:r>
      <w:r>
        <w:rPr>
          <w:rFonts w:hint="eastAsia" w:ascii="仿宋_GB2312" w:hAnsi="Times New Roman" w:eastAsia="仿宋_GB2312" w:cs="DengXian-Regular"/>
          <w:sz w:val="32"/>
          <w:szCs w:val="32"/>
        </w:rPr>
        <w:t>等支出。</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1693.76</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1193.89</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万元，主要包括基本工资、津贴补贴、奖金、绩效工资、机关事业单位基本养老保险缴费、职业年金缴费、职工基本医疗保险缴费、公务员医疗补助缴费、住房公积金、其他社会保障缴费、其他工资福利支出</w:t>
      </w:r>
      <w:r>
        <w:rPr>
          <w:rFonts w:hint="eastAsia" w:ascii="仿宋_GB2312" w:hAnsi="Times New Roman" w:eastAsia="仿宋_GB2312" w:cs="DengXian-Regular"/>
          <w:sz w:val="32"/>
          <w:szCs w:val="32"/>
          <w:lang w:val="en-US" w:eastAsia="zh-CN"/>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公用经费</w:t>
      </w:r>
      <w:r>
        <w:rPr>
          <w:rFonts w:hint="eastAsia" w:ascii="仿宋_GB2312" w:hAnsi="Times New Roman" w:eastAsia="仿宋_GB2312" w:cs="DengXian-Regular"/>
          <w:sz w:val="32"/>
          <w:szCs w:val="32"/>
          <w:lang w:val="en-US" w:eastAsia="zh-CN"/>
        </w:rPr>
        <w:t>253.67</w:t>
      </w:r>
      <w:r>
        <w:rPr>
          <w:rFonts w:hint="eastAsia" w:ascii="仿宋_GB2312" w:hAnsi="Times New Roman" w:eastAsia="仿宋_GB2312" w:cs="DengXian-Regular"/>
          <w:sz w:val="32"/>
          <w:szCs w:val="32"/>
        </w:rPr>
        <w:t>万元，主要包括办公费、印刷费、水费、电费、邮电费、取暖费、物业管理费、差旅费、维修（护）费、租赁费、培训费、专用材料费、劳务费、工会经费、福利费、其他商品和服务支出、办公设备购置、专用设备购置</w:t>
      </w:r>
      <w:r>
        <w:rPr>
          <w:rFonts w:hint="eastAsia" w:ascii="仿宋_GB2312" w:hAnsi="Times New Roman" w:eastAsia="仿宋_GB2312" w:cs="DengXian-Regular"/>
          <w:sz w:val="32"/>
          <w:szCs w:val="32"/>
          <w:lang w:eastAsia="zh-CN"/>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（一）“三公”经费财政拨款支出决算总体情况说明</w:t>
      </w:r>
    </w:p>
    <w:p>
      <w:pPr>
        <w:adjustRightInd w:val="0"/>
        <w:snapToGrid w:val="0"/>
        <w:spacing w:line="600" w:lineRule="exact"/>
        <w:ind w:firstLine="640" w:firstLineChars="200"/>
        <w:rPr>
          <w:rFonts w:ascii="仿宋_GB2312" w:hAnsi="Times New Roman" w:eastAsia="仿宋_GB2312" w:cs="Wingdings"/>
          <w:sz w:val="32"/>
          <w:szCs w:val="32"/>
        </w:rPr>
      </w:pPr>
      <w:r>
        <w:rPr>
          <w:rFonts w:hint="eastAsia" w:ascii="仿宋_GB2312" w:hAnsi="Times New Roman" w:eastAsia="仿宋_GB2312" w:cs="Wingdings"/>
          <w:sz w:val="32"/>
          <w:szCs w:val="32"/>
        </w:rPr>
        <w:t>本单位2021年度“三公”经费财政拨款支出预算为0万元，支出决算为0元，与预算持平，主要是无三公经费事项支出；较2020年度决算减少0万元，降低0%，主要是无三公经费事项支出。</w:t>
      </w:r>
    </w:p>
    <w:p>
      <w:pPr>
        <w:adjustRightInd w:val="0"/>
        <w:snapToGrid w:val="0"/>
        <w:spacing w:line="580" w:lineRule="exact"/>
        <w:ind w:firstLine="643"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（二）“三公”经费财政拨款支出决算具体情况说明</w:t>
      </w:r>
    </w:p>
    <w:p>
      <w:pPr>
        <w:adjustRightInd w:val="0"/>
        <w:snapToGrid w:val="0"/>
        <w:spacing w:line="580" w:lineRule="exact"/>
        <w:ind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1.因公出国（境）费支出情况。</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本单位2021年公务用车购置及运行维护费支出0万元，完成预算的0%，</w:t>
      </w:r>
      <w:r>
        <w:rPr>
          <w:rFonts w:hint="eastAsia" w:ascii="仿宋_GB2312" w:hAnsi="Times New Roman" w:eastAsia="仿宋_GB2312" w:cs="Wingdings"/>
          <w:sz w:val="32"/>
          <w:szCs w:val="32"/>
        </w:rPr>
        <w:t>较预算增加0万元，增长0%,主要是</w:t>
      </w:r>
      <w:r>
        <w:rPr>
          <w:rFonts w:hint="eastAsia" w:ascii="仿宋" w:hAnsi="仿宋" w:eastAsia="仿宋" w:cs="仿宋"/>
          <w:sz w:val="32"/>
          <w:szCs w:val="32"/>
        </w:rPr>
        <w:t>本单位公车处置</w:t>
      </w:r>
      <w:r>
        <w:rPr>
          <w:rFonts w:hint="eastAsia" w:ascii="仿宋_GB2312" w:hAnsi="Times New Roman" w:eastAsia="仿宋_GB2312" w:cs="Wingdings"/>
          <w:sz w:val="32"/>
          <w:szCs w:val="32"/>
        </w:rPr>
        <w:t>；较上年增加0万元，增长0%,主要是</w:t>
      </w:r>
      <w:r>
        <w:rPr>
          <w:rFonts w:hint="eastAsia" w:ascii="仿宋" w:hAnsi="仿宋" w:eastAsia="仿宋" w:cs="仿宋"/>
          <w:sz w:val="32"/>
          <w:szCs w:val="32"/>
        </w:rPr>
        <w:t>本单位公车处置</w:t>
      </w:r>
      <w:r>
        <w:rPr>
          <w:rFonts w:hint="eastAsia" w:ascii="仿宋_GB2312" w:hAnsi="Times New Roman" w:eastAsia="仿宋_GB2312" w:cs="Wingdings"/>
          <w:sz w:val="32"/>
          <w:szCs w:val="32"/>
        </w:rPr>
        <w:t>。</w:t>
      </w:r>
    </w:p>
    <w:p>
      <w:pPr>
        <w:numPr>
          <w:ilvl w:val="0"/>
          <w:numId w:val="3"/>
        </w:numPr>
        <w:adjustRightInd w:val="0"/>
        <w:snapToGrid w:val="0"/>
        <w:spacing w:line="580" w:lineRule="exact"/>
        <w:ind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公务用车购置及运行维护费支出情况。</w:t>
      </w:r>
    </w:p>
    <w:p>
      <w:pPr>
        <w:adjustRightInd w:val="0"/>
        <w:snapToGrid w:val="0"/>
        <w:spacing w:line="580" w:lineRule="exact"/>
        <w:ind w:firstLine="640" w:firstLineChars="200"/>
        <w:rPr>
          <w:rFonts w:ascii="仿宋_GB2312" w:hAnsi="Times New Roman" w:eastAsia="仿宋_GB2312" w:cs="DengXian-Bold"/>
          <w:b/>
          <w:bCs/>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公务用车购置及运行维护费</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2020年度决算支出持平,主要是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公务用车购置及运行维护费</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本单位未发生‘公务用车购置’经费支出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本单位未发生‘公务用车购置’经费支出</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本单位未发生‘公务用车运行维护’经费支出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本单位未发生‘公务用车运行维护’经费支出</w:t>
      </w:r>
      <w:r>
        <w:rPr>
          <w:rFonts w:hint="eastAsia" w:ascii="仿宋_GB2312" w:hAnsi="Times New Roman" w:eastAsia="仿宋_GB2312" w:cs="DengXian-Regular"/>
          <w:sz w:val="32"/>
          <w:szCs w:val="32"/>
        </w:rPr>
        <w:t>。</w:t>
      </w:r>
    </w:p>
    <w:p>
      <w:pPr>
        <w:numPr>
          <w:ilvl w:val="0"/>
          <w:numId w:val="3"/>
        </w:numPr>
        <w:adjustRightInd w:val="0"/>
        <w:snapToGrid w:val="0"/>
        <w:spacing w:line="580" w:lineRule="exact"/>
        <w:ind w:left="0" w:leftChars="0"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公务接待费支出情况。</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无公务接待费支出</w:t>
      </w:r>
      <w:r>
        <w:rPr>
          <w:rFonts w:hint="eastAsia" w:ascii="仿宋_GB2312" w:hAnsi="Times New Roman" w:eastAsia="仿宋_GB2312" w:cs="DengXian-Regular"/>
          <w:sz w:val="32"/>
          <w:szCs w:val="32"/>
        </w:rPr>
        <w:t>；较上年度</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无公务接待费支出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lang w:val="en-US" w:eastAsia="zh-CN"/>
        </w:rPr>
        <w:t>六</w:t>
      </w:r>
      <w:r>
        <w:rPr>
          <w:rFonts w:hint="eastAsia" w:ascii="黑体" w:hAnsi="Times New Roman" w:eastAsia="黑体" w:cs="Times New Roman"/>
          <w:sz w:val="32"/>
          <w:szCs w:val="40"/>
        </w:rPr>
        <w:t>、预算绩效情况说明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hint="default" w:ascii="仿宋" w:hAnsi="仿宋" w:eastAsia="仿宋" w:cs="仿宋_GB2312"/>
          <w:sz w:val="32"/>
          <w:szCs w:val="32"/>
          <w:lang w:val="en-US" w:eastAsia="zh-CN"/>
        </w:rPr>
      </w:pPr>
      <w:r>
        <w:rPr>
          <w:rFonts w:hint="eastAsia" w:ascii="仿宋_GB2312" w:hAnsi="仿宋_GB2312" w:eastAsia="仿宋_GB2312" w:cs="仿宋_GB2312"/>
          <w:sz w:val="32"/>
          <w:szCs w:val="32"/>
        </w:rPr>
        <w:t>根据预算绩效管理要求，本部门组织对2021年度一般公共预算项目支出全面开展绩效自评，</w:t>
      </w:r>
      <w:r>
        <w:rPr>
          <w:rFonts w:hint="eastAsia" w:ascii="仿宋_GB2312" w:hAnsi="仿宋_GB2312" w:eastAsia="仿宋_GB2312" w:cs="仿宋_GB2312"/>
          <w:sz w:val="32"/>
          <w:szCs w:val="32"/>
          <w:lang w:val="en-US" w:eastAsia="zh-CN"/>
        </w:rPr>
        <w:t>共有石财教【2020】108号2021年城乡义务教育中央补助经费预算（直达资金）等3个</w:t>
      </w:r>
      <w:r>
        <w:rPr>
          <w:rFonts w:hint="eastAsia" w:ascii="仿宋_GB2312" w:hAnsi="仿宋_GB2312" w:eastAsia="仿宋_GB2312" w:cs="仿宋_GB2312"/>
          <w:sz w:val="32"/>
          <w:szCs w:val="32"/>
        </w:rPr>
        <w:t>项目，共涉及资金</w:t>
      </w:r>
      <w:r>
        <w:rPr>
          <w:rFonts w:hint="eastAsia" w:ascii="仿宋_GB2312" w:hAnsi="仿宋_GB2312" w:eastAsia="仿宋_GB2312" w:cs="仿宋_GB2312"/>
          <w:sz w:val="32"/>
          <w:szCs w:val="32"/>
          <w:lang w:val="en-US" w:eastAsia="zh-CN"/>
        </w:rPr>
        <w:t>450</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26.6%</w:t>
      </w:r>
      <w:r>
        <w:rPr>
          <w:rFonts w:hint="eastAsia" w:ascii="仿宋_GB2312" w:hAnsi="仿宋_GB2312" w:eastAsia="仿宋_GB2312" w:cs="仿宋_GB2312"/>
          <w:sz w:val="32"/>
          <w:szCs w:val="32"/>
        </w:rPr>
        <w:t>。</w:t>
      </w:r>
    </w:p>
    <w:p>
      <w:pPr>
        <w:numPr>
          <w:ilvl w:val="0"/>
          <w:numId w:val="4"/>
        </w:numPr>
        <w:adjustRightInd w:val="0"/>
        <w:snapToGrid w:val="0"/>
        <w:spacing w:line="580" w:lineRule="exact"/>
        <w:ind w:left="420" w:leftChars="200"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30" w:firstLineChars="300"/>
        <w:rPr>
          <w:rFonts w:hint="eastAsia" w:ascii="仿宋" w:hAnsi="仿宋" w:eastAsia="仿宋" w:cs="仿宋_GB2312"/>
          <w:sz w:val="32"/>
          <w:szCs w:val="32"/>
          <w:lang w:val="en-US" w:eastAsia="zh-CN"/>
        </w:rPr>
      </w:pPr>
      <w:r>
        <w:drawing>
          <wp:anchor distT="0" distB="0" distL="114300" distR="114300" simplePos="0" relativeHeight="251674624" behindDoc="0" locked="0" layoutInCell="1" allowOverlap="1">
            <wp:simplePos x="0" y="0"/>
            <wp:positionH relativeFrom="column">
              <wp:posOffset>-85725</wp:posOffset>
            </wp:positionH>
            <wp:positionV relativeFrom="paragraph">
              <wp:posOffset>1913890</wp:posOffset>
            </wp:positionV>
            <wp:extent cx="5610225" cy="6885940"/>
            <wp:effectExtent l="0" t="0" r="9525" b="10160"/>
            <wp:wrapTopAndBottom/>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23"/>
                    <a:stretch>
                      <a:fillRect/>
                    </a:stretch>
                  </pic:blipFill>
                  <pic:spPr>
                    <a:xfrm>
                      <a:off x="0" y="0"/>
                      <a:ext cx="5610225" cy="6885940"/>
                    </a:xfrm>
                    <a:prstGeom prst="rect">
                      <a:avLst/>
                    </a:prstGeom>
                    <a:noFill/>
                    <a:ln>
                      <a:noFill/>
                    </a:ln>
                  </pic:spPr>
                </pic:pic>
              </a:graphicData>
            </a:graphic>
          </wp:anchor>
        </w:drawing>
      </w:r>
      <w:r>
        <w:rPr>
          <w:rFonts w:hint="eastAsia" w:ascii="仿宋" w:hAnsi="仿宋" w:eastAsia="仿宋" w:cs="仿宋_GB2312"/>
          <w:sz w:val="32"/>
          <w:szCs w:val="32"/>
        </w:rPr>
        <w:t>组织相关人员组成评价小组，充分调查研究，听取意见和建议，科学制定实施方案</w:t>
      </w:r>
      <w:r>
        <w:rPr>
          <w:rFonts w:hint="eastAsia" w:ascii="仿宋" w:hAnsi="仿宋" w:eastAsia="仿宋" w:cs="仿宋_GB2312"/>
          <w:sz w:val="32"/>
          <w:szCs w:val="32"/>
          <w:lang w:eastAsia="zh-CN"/>
        </w:rPr>
        <w:t>。</w:t>
      </w:r>
      <w:r>
        <w:rPr>
          <w:rFonts w:hint="eastAsia" w:ascii="仿宋" w:hAnsi="仿宋" w:eastAsia="仿宋" w:cs="仿宋_GB2312"/>
          <w:sz w:val="32"/>
          <w:szCs w:val="32"/>
        </w:rPr>
        <w:t>依据实施方案</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重点对中央直达资金进行评价。从评价情况来看，该项目对提高学生学习环境，校舍维护维修，教师素质提升等都达到了满意的效果。</w:t>
      </w:r>
    </w:p>
    <w:p>
      <w:pPr>
        <w:numPr>
          <w:ilvl w:val="0"/>
          <w:numId w:val="0"/>
        </w:numPr>
        <w:adjustRightInd w:val="0"/>
        <w:snapToGrid w:val="0"/>
        <w:spacing w:line="580" w:lineRule="exact"/>
        <w:ind w:leftChars="300"/>
        <w:rPr>
          <w:rFonts w:hint="eastAsia" w:ascii="仿宋_GB2312" w:hAnsi="仿宋_GB2312" w:eastAsia="仿宋_GB2312" w:cs="仿宋_GB2312"/>
          <w:b/>
          <w:bCs/>
          <w:sz w:val="32"/>
          <w:szCs w:val="32"/>
        </w:rPr>
      </w:pPr>
    </w:p>
    <w:p>
      <w:pPr>
        <w:numPr>
          <w:ilvl w:val="0"/>
          <w:numId w:val="4"/>
        </w:numPr>
        <w:adjustRightInd w:val="0"/>
        <w:snapToGrid w:val="0"/>
        <w:spacing w:line="580" w:lineRule="exact"/>
        <w:ind w:left="420" w:leftChars="200"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财政评价项目绩效评价结果</w:t>
      </w:r>
    </w:p>
    <w:p>
      <w:pPr>
        <w:pStyle w:val="8"/>
        <w:spacing w:line="500" w:lineRule="exact"/>
        <w:ind w:firstLine="640"/>
        <w:rPr>
          <w:rFonts w:hint="eastAsia" w:ascii="仿宋" w:hAnsi="仿宋" w:eastAsia="仿宋" w:cs="仿宋"/>
          <w:sz w:val="32"/>
          <w:szCs w:val="32"/>
        </w:rPr>
      </w:pPr>
      <w:r>
        <w:rPr>
          <w:rFonts w:hint="eastAsia" w:ascii="仿宋" w:hAnsi="仿宋" w:eastAsia="仿宋" w:cs="仿宋"/>
          <w:sz w:val="32"/>
          <w:szCs w:val="32"/>
        </w:rPr>
        <w:t>针对不足，我们将继续努力不断健全制度，完善政策、改进管理、优化流程不断提高部门绩效管理水平。具体如下：</w:t>
      </w:r>
    </w:p>
    <w:p>
      <w:pPr>
        <w:pStyle w:val="8"/>
        <w:spacing w:line="500" w:lineRule="exact"/>
        <w:ind w:firstLine="640"/>
        <w:rPr>
          <w:rFonts w:hint="eastAsia" w:ascii="仿宋" w:hAnsi="仿宋" w:eastAsia="仿宋" w:cs="仿宋"/>
          <w:sz w:val="32"/>
          <w:szCs w:val="32"/>
        </w:rPr>
      </w:pPr>
      <w:r>
        <w:rPr>
          <w:rFonts w:hint="eastAsia" w:ascii="仿宋" w:hAnsi="仿宋" w:eastAsia="仿宋" w:cs="仿宋"/>
          <w:sz w:val="32"/>
          <w:szCs w:val="32"/>
        </w:rPr>
        <w:t>（1）不断学习新知识，努力接收新政策，提前预测，科学把控，全面预算。</w:t>
      </w:r>
    </w:p>
    <w:p>
      <w:pPr>
        <w:pStyle w:val="8"/>
        <w:numPr>
          <w:ilvl w:val="0"/>
          <w:numId w:val="0"/>
        </w:num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找准定位，既要保证政策全面落实，不折不扣，又要保证资金有效利用，不会浪费。</w:t>
      </w:r>
    </w:p>
    <w:p>
      <w:pPr>
        <w:adjustRightInd w:val="0"/>
        <w:snapToGrid w:val="0"/>
        <w:spacing w:line="580" w:lineRule="exact"/>
        <w:ind w:left="420" w:leftChars="200" w:firstLine="320" w:firstLineChars="100"/>
        <w:rPr>
          <w:rFonts w:hint="eastAsia" w:ascii="黑体" w:hAnsi="Calibri" w:eastAsia="黑体" w:cs="Times New Roman"/>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pStyle w:val="8"/>
        <w:numPr>
          <w:ilvl w:val="0"/>
          <w:numId w:val="0"/>
        </w:numPr>
        <w:spacing w:line="500" w:lineRule="exact"/>
        <w:ind w:firstLine="640" w:firstLineChars="200"/>
        <w:rPr>
          <w:rFonts w:hint="eastAsia" w:ascii="仿宋" w:hAnsi="仿宋" w:eastAsia="仿宋" w:cs="仿宋"/>
          <w:sz w:val="32"/>
          <w:szCs w:val="32"/>
          <w:lang w:val="en-US" w:eastAsia="zh-CN"/>
        </w:rPr>
      </w:pPr>
      <w:r>
        <w:rPr>
          <w:rFonts w:hint="eastAsia" w:ascii="仿宋_GB2312" w:hAnsi="Times New Roman" w:eastAsia="仿宋_GB2312" w:cs="DengXian-Regular"/>
          <w:sz w:val="32"/>
          <w:szCs w:val="32"/>
        </w:rPr>
        <w:t>本部门2021年度政府采购支出总额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万元，占政府采购支出总额的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截至2021年12月31日，本部门共有车辆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辆。其中，副部（省）级及以上领导用车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辆，主要领导干部用车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辆，机要通信用车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辆，应急保障用车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辆，执法执勤用车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辆，特种专业技术用车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辆，离退休干部用车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辆，其他用车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hint="eastAsia" w:ascii="仿宋" w:hAnsi="仿宋" w:eastAsia="仿宋" w:cs="仿宋"/>
          <w:sz w:val="32"/>
          <w:szCs w:val="32"/>
          <w:lang w:val="en-US" w:eastAsia="zh-CN"/>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w:t>
      </w:r>
    </w:p>
    <w:p>
      <w:pPr>
        <w:numPr>
          <w:ilvl w:val="0"/>
          <w:numId w:val="5"/>
        </w:numPr>
        <w:adjustRightInd w:val="0"/>
        <w:snapToGrid w:val="0"/>
        <w:spacing w:line="580" w:lineRule="exact"/>
        <w:ind w:firstLine="640" w:firstLineChars="200"/>
        <w:rPr>
          <w:rFonts w:hint="eastAsia" w:ascii="黑体" w:hAnsi="Calibri" w:eastAsia="黑体" w:cs="Times New Roman"/>
          <w:sz w:val="32"/>
          <w:szCs w:val="32"/>
        </w:rPr>
      </w:pPr>
      <w:r>
        <w:rPr>
          <w:rFonts w:hint="eastAsia" w:ascii="黑体" w:hAnsi="Calibri" w:eastAsia="黑体" w:cs="Times New Roman"/>
          <w:sz w:val="32"/>
          <w:szCs w:val="32"/>
        </w:rPr>
        <w:t>其他需要说明的情况</w:t>
      </w:r>
    </w:p>
    <w:p>
      <w:pPr>
        <w:numPr>
          <w:ilvl w:val="0"/>
          <w:numId w:val="6"/>
        </w:numPr>
        <w:adjustRightInd w:val="0"/>
        <w:snapToGrid w:val="0"/>
        <w:spacing w:line="580" w:lineRule="exact"/>
        <w:ind w:left="640" w:leftChars="0" w:firstLine="0" w:firstLineChars="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本单位</w:t>
      </w:r>
      <w:r>
        <w:rPr>
          <w:rFonts w:hint="eastAsia" w:ascii="仿宋_GB2312" w:hAnsi="Times New Roman" w:eastAsia="仿宋_GB2312" w:cs="DengXian-Regular"/>
          <w:sz w:val="32"/>
          <w:szCs w:val="32"/>
        </w:rPr>
        <w:t>2021年度</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三公”经费、</w:t>
      </w:r>
      <w:r>
        <w:rPr>
          <w:rFonts w:hint="eastAsia" w:ascii="仿宋_GB2312" w:hAnsi="Times New Roman" w:eastAsia="仿宋_GB2312" w:cs="DengXian-Regular"/>
          <w:sz w:val="32"/>
          <w:szCs w:val="32"/>
          <w:lang w:eastAsia="zh-CN"/>
        </w:rPr>
        <w:t>政府性基金预算财政拨款收入、</w:t>
      </w:r>
      <w:r>
        <w:rPr>
          <w:rFonts w:hint="eastAsia" w:ascii="仿宋_GB2312" w:hAnsi="Times New Roman" w:eastAsia="仿宋_GB2312" w:cs="DengXian-Regular"/>
          <w:sz w:val="32"/>
          <w:szCs w:val="32"/>
          <w:lang w:val="en-US" w:eastAsia="zh-CN"/>
        </w:rPr>
        <w:t>国有资本经营预算财政拨款</w:t>
      </w:r>
      <w:r>
        <w:rPr>
          <w:rFonts w:hint="eastAsia" w:ascii="仿宋_GB2312" w:hAnsi="Times New Roman" w:eastAsia="仿宋_GB2312" w:cs="DengXian-Regular"/>
          <w:sz w:val="32"/>
          <w:szCs w:val="32"/>
        </w:rPr>
        <w:t>无收支及结转结余情况，故</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三公”经费、</w:t>
      </w:r>
      <w:r>
        <w:rPr>
          <w:rFonts w:hint="eastAsia" w:ascii="仿宋_GB2312" w:hAnsi="Times New Roman" w:eastAsia="仿宋_GB2312" w:cs="DengXian-Regular"/>
          <w:sz w:val="32"/>
          <w:szCs w:val="32"/>
          <w:lang w:eastAsia="zh-CN"/>
        </w:rPr>
        <w:t>政府性基金预算财政拨款收入、</w:t>
      </w:r>
      <w:r>
        <w:rPr>
          <w:rFonts w:hint="eastAsia" w:ascii="仿宋_GB2312" w:hAnsi="Times New Roman" w:eastAsia="仿宋_GB2312" w:cs="DengXian-Regular"/>
          <w:sz w:val="32"/>
          <w:szCs w:val="32"/>
          <w:lang w:val="en-US" w:eastAsia="zh-CN"/>
        </w:rPr>
        <w:t>国有资本经营预算财政拨款三个</w:t>
      </w:r>
      <w:r>
        <w:rPr>
          <w:rFonts w:hint="eastAsia" w:ascii="仿宋_GB2312" w:hAnsi="Times New Roman" w:eastAsia="仿宋_GB2312" w:cs="DengXian-Regular"/>
          <w:sz w:val="32"/>
          <w:szCs w:val="32"/>
        </w:rPr>
        <w:t>表以空表列示</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2</w:t>
      </w:r>
      <w:r>
        <w:rPr>
          <w:rFonts w:hint="eastAsia" w:ascii="仿宋_GB2312" w:hAnsi="Times New Roman" w:eastAsia="仿宋_GB2312" w:cs="DengXian-Regular"/>
          <w:sz w:val="32"/>
          <w:szCs w:val="32"/>
        </w:rPr>
        <w:t>.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1552"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Bold">
    <w:altName w:val="宋体"/>
    <w:panose1 w:val="00000000000000000000"/>
    <w:charset w:val="86"/>
    <w:family w:val="auto"/>
    <w:pitch w:val="default"/>
    <w:sig w:usb0="00000000" w:usb1="00000000" w:usb2="00000010" w:usb3="00000000" w:csb0="00040001" w:csb1="00000000"/>
  </w:font>
  <w:font w:name="DengXian-Regular">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A3BB5"/>
    <w:multiLevelType w:val="singleLevel"/>
    <w:tmpl w:val="8B0A3BB5"/>
    <w:lvl w:ilvl="0" w:tentative="0">
      <w:start w:val="2"/>
      <w:numFmt w:val="decimal"/>
      <w:lvlText w:val="%1."/>
      <w:lvlJc w:val="left"/>
      <w:pPr>
        <w:tabs>
          <w:tab w:val="left" w:pos="312"/>
        </w:tabs>
      </w:pPr>
    </w:lvl>
  </w:abstractNum>
  <w:abstractNum w:abstractNumId="1">
    <w:nsid w:val="A5FB7885"/>
    <w:multiLevelType w:val="singleLevel"/>
    <w:tmpl w:val="A5FB7885"/>
    <w:lvl w:ilvl="0" w:tentative="0">
      <w:start w:val="2"/>
      <w:numFmt w:val="chineseCounting"/>
      <w:suff w:val="nothing"/>
      <w:lvlText w:val="（%1）"/>
      <w:lvlJc w:val="left"/>
      <w:rPr>
        <w:rFonts w:hint="eastAsia"/>
      </w:rPr>
    </w:lvl>
  </w:abstractNum>
  <w:abstractNum w:abstractNumId="2">
    <w:nsid w:val="D6308AE9"/>
    <w:multiLevelType w:val="singleLevel"/>
    <w:tmpl w:val="D6308AE9"/>
    <w:lvl w:ilvl="0" w:tentative="0">
      <w:start w:val="2"/>
      <w:numFmt w:val="chineseCounting"/>
      <w:suff w:val="nothing"/>
      <w:lvlText w:val="%1、"/>
      <w:lvlJc w:val="left"/>
      <w:rPr>
        <w:rFonts w:hint="eastAsia"/>
      </w:rPr>
    </w:lvl>
  </w:abstractNum>
  <w:abstractNum w:abstractNumId="3">
    <w:nsid w:val="3A63DF6B"/>
    <w:multiLevelType w:val="singleLevel"/>
    <w:tmpl w:val="3A63DF6B"/>
    <w:lvl w:ilvl="0" w:tentative="0">
      <w:start w:val="1"/>
      <w:numFmt w:val="decimal"/>
      <w:lvlText w:val="%1."/>
      <w:lvlJc w:val="left"/>
      <w:pPr>
        <w:tabs>
          <w:tab w:val="left" w:pos="312"/>
        </w:tabs>
        <w:ind w:left="640" w:leftChars="0" w:firstLine="0" w:firstLineChars="0"/>
      </w:pPr>
    </w:lvl>
  </w:abstractNum>
  <w:abstractNum w:abstractNumId="4">
    <w:nsid w:val="45DB9A87"/>
    <w:multiLevelType w:val="singleLevel"/>
    <w:tmpl w:val="45DB9A87"/>
    <w:lvl w:ilvl="0" w:tentative="0">
      <w:start w:val="3"/>
      <w:numFmt w:val="chineseCounting"/>
      <w:suff w:val="nothing"/>
      <w:lvlText w:val="（%1）"/>
      <w:lvlJc w:val="left"/>
      <w:rPr>
        <w:rFonts w:hint="eastAsia"/>
      </w:rPr>
    </w:lvl>
  </w:abstractNum>
  <w:abstractNum w:abstractNumId="5">
    <w:nsid w:val="6A6CD215"/>
    <w:multiLevelType w:val="singleLevel"/>
    <w:tmpl w:val="6A6CD215"/>
    <w:lvl w:ilvl="0" w:tentative="0">
      <w:start w:val="10"/>
      <w:numFmt w:val="chineseCounting"/>
      <w:suff w:val="nothing"/>
      <w:lvlText w:val="%1、"/>
      <w:lvlJc w:val="left"/>
      <w:rPr>
        <w:rFonts w:hint="eastAsia"/>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zMsImhkaWQiOiIxZTRhMDNkY2IxYjIxYmNkZWNiNGY4ODdiOGJlYzcxOSIsInVzZXJDb3VudCI6M30="/>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F2691F"/>
    <w:rsid w:val="05273E55"/>
    <w:rsid w:val="06EB1AB6"/>
    <w:rsid w:val="099D6B31"/>
    <w:rsid w:val="09FD66D9"/>
    <w:rsid w:val="0E700893"/>
    <w:rsid w:val="10B242CF"/>
    <w:rsid w:val="11F4604E"/>
    <w:rsid w:val="122C68E3"/>
    <w:rsid w:val="136D16FB"/>
    <w:rsid w:val="13AA21BF"/>
    <w:rsid w:val="183A72AB"/>
    <w:rsid w:val="1A3D2C72"/>
    <w:rsid w:val="1CBD7DCA"/>
    <w:rsid w:val="1E9D03A3"/>
    <w:rsid w:val="216937C4"/>
    <w:rsid w:val="21820FF0"/>
    <w:rsid w:val="26276E72"/>
    <w:rsid w:val="298605CB"/>
    <w:rsid w:val="2CEF036C"/>
    <w:rsid w:val="2D1A13D5"/>
    <w:rsid w:val="2D3447B9"/>
    <w:rsid w:val="308B0D67"/>
    <w:rsid w:val="32A31C4C"/>
    <w:rsid w:val="32B53CA7"/>
    <w:rsid w:val="33CD2241"/>
    <w:rsid w:val="34967CFD"/>
    <w:rsid w:val="34E56399"/>
    <w:rsid w:val="360F0BA0"/>
    <w:rsid w:val="39C2416B"/>
    <w:rsid w:val="3B744E3E"/>
    <w:rsid w:val="3C382848"/>
    <w:rsid w:val="3C495460"/>
    <w:rsid w:val="3DC91A1B"/>
    <w:rsid w:val="3F235BB1"/>
    <w:rsid w:val="3F663581"/>
    <w:rsid w:val="420C31B7"/>
    <w:rsid w:val="42A44BF6"/>
    <w:rsid w:val="441E71D2"/>
    <w:rsid w:val="453D6B02"/>
    <w:rsid w:val="4571549B"/>
    <w:rsid w:val="471274FD"/>
    <w:rsid w:val="49717ADD"/>
    <w:rsid w:val="49CA4084"/>
    <w:rsid w:val="4A51609B"/>
    <w:rsid w:val="4C194D3B"/>
    <w:rsid w:val="4D304C6C"/>
    <w:rsid w:val="4F2A6A41"/>
    <w:rsid w:val="500373A2"/>
    <w:rsid w:val="53AD746D"/>
    <w:rsid w:val="561769D4"/>
    <w:rsid w:val="58D844B0"/>
    <w:rsid w:val="5C0827EA"/>
    <w:rsid w:val="5F4A1A8C"/>
    <w:rsid w:val="60075621"/>
    <w:rsid w:val="602001C2"/>
    <w:rsid w:val="60911000"/>
    <w:rsid w:val="60CE32E1"/>
    <w:rsid w:val="64C00985"/>
    <w:rsid w:val="65225D26"/>
    <w:rsid w:val="65DB5CBA"/>
    <w:rsid w:val="66323B9A"/>
    <w:rsid w:val="674E6C15"/>
    <w:rsid w:val="67636EEB"/>
    <w:rsid w:val="697609B2"/>
    <w:rsid w:val="69F4671F"/>
    <w:rsid w:val="6B186314"/>
    <w:rsid w:val="6CBF282C"/>
    <w:rsid w:val="73335BEE"/>
    <w:rsid w:val="734B3BFA"/>
    <w:rsid w:val="73753308"/>
    <w:rsid w:val="78726082"/>
    <w:rsid w:val="79442C5B"/>
    <w:rsid w:val="7980482E"/>
    <w:rsid w:val="7BB011B5"/>
    <w:rsid w:val="7BBF030C"/>
    <w:rsid w:val="7C2A2F43"/>
    <w:rsid w:val="7C56722E"/>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6">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3.sv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chart" Target="charts/chart4.xml"/><Relationship Id="rId21" Type="http://schemas.openxmlformats.org/officeDocument/2006/relationships/chart" Target="charts/chart3.xml"/><Relationship Id="rId20" Type="http://schemas.openxmlformats.org/officeDocument/2006/relationships/chart" Target="charts/chart2.xml"/><Relationship Id="rId2" Type="http://schemas.openxmlformats.org/officeDocument/2006/relationships/settings" Target="settings.xml"/><Relationship Id="rId19" Type="http://schemas.openxmlformats.org/officeDocument/2006/relationships/chart" Target="charts/chart1.xml"/><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2021年收支</c:v>
                </c:pt>
                <c:pt idx="1">
                  <c:v>2020年收支</c:v>
                </c:pt>
              </c:strCache>
            </c:strRef>
          </c:cat>
          <c:val>
            <c:numRef>
              <c:f>Sheet1!$B$2:$B$5</c:f>
              <c:numCache>
                <c:formatCode>General</c:formatCode>
                <c:ptCount val="4"/>
                <c:pt idx="0">
                  <c:v>1697.76</c:v>
                </c:pt>
                <c:pt idx="1">
                  <c:v>1743.63</c:v>
                </c:pt>
              </c:numCache>
            </c:numRef>
          </c:val>
        </c:ser>
        <c:dLbls>
          <c:showLegendKey val="0"/>
          <c:showVal val="1"/>
          <c:showCatName val="0"/>
          <c:showSerName val="0"/>
          <c:showPercent val="0"/>
          <c:showBubbleSize val="0"/>
        </c:dLbls>
        <c:gapWidth val="75"/>
        <c:overlap val="0"/>
        <c:axId val="827747018"/>
        <c:axId val="398410234"/>
      </c:barChart>
      <c:catAx>
        <c:axId val="82774701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8410234"/>
        <c:crosses val="autoZero"/>
        <c:auto val="1"/>
        <c:lblAlgn val="ctr"/>
        <c:lblOffset val="100"/>
        <c:noMultiLvlLbl val="0"/>
      </c:catAx>
      <c:valAx>
        <c:axId val="398410234"/>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2774701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2021年支出合计</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基本支出</c:v>
                </c:pt>
                <c:pt idx="1">
                  <c:v>项目支出</c:v>
                </c:pt>
              </c:strCache>
            </c:strRef>
          </c:cat>
          <c:val>
            <c:numRef>
              <c:f>Sheet1!$B$2:$B$5</c:f>
              <c:numCache>
                <c:formatCode>General</c:formatCode>
                <c:ptCount val="4"/>
                <c:pt idx="0">
                  <c:v>1447.56</c:v>
                </c:pt>
                <c:pt idx="1">
                  <c:v>250.21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Sheet1!$A$2:$A$5</c:f>
              <c:strCache>
                <c:ptCount val="4"/>
                <c:pt idx="0">
                  <c:v>2020年收入支出</c:v>
                </c:pt>
                <c:pt idx="1">
                  <c:v>2021年收入支出</c:v>
                </c:pt>
              </c:strCache>
            </c:strRef>
          </c:cat>
          <c:val>
            <c:numRef>
              <c:f>Sheet1!$B$2:$B$5</c:f>
              <c:numCache>
                <c:formatCode>General</c:formatCode>
                <c:ptCount val="4"/>
                <c:pt idx="0">
                  <c:v>1743.63</c:v>
                </c:pt>
                <c:pt idx="1">
                  <c:v>1697.76</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Sheet1!$A$2:$A$5</c:f>
              <c:strCache>
                <c:ptCount val="4"/>
                <c:pt idx="0">
                  <c:v>2020年收入支出</c:v>
                </c:pt>
                <c:pt idx="1">
                  <c:v>2021年收入支出</c:v>
                </c:pt>
              </c:strCache>
            </c:strRef>
          </c:cat>
          <c:val>
            <c:numRef>
              <c:f>Sheet1!$C$2:$C$5</c:f>
              <c:numCache>
                <c:formatCode>General</c:formatCode>
                <c:ptCount val="4"/>
                <c:pt idx="0">
                  <c:v>1743.63</c:v>
                </c:pt>
                <c:pt idx="1">
                  <c:v>1697.76</c:v>
                </c:pt>
              </c:numCache>
            </c:numRef>
          </c:val>
        </c:ser>
        <c:ser>
          <c:idx val="2"/>
          <c:order val="2"/>
          <c:tx>
            <c:strRef>
              <c:f>Sheet1!$D$1</c:f>
              <c:strCache>
                <c:ptCount val="1"/>
                <c:pt idx="0">
                  <c:v/>
                </c:pt>
              </c:strCache>
            </c:strRef>
          </c:tx>
          <c:spPr>
            <a:solidFill>
              <a:schemeClr val="accent3"/>
            </a:solidFill>
            <a:ln>
              <a:noFill/>
            </a:ln>
            <a:effectLst/>
          </c:spPr>
          <c:invertIfNegative val="0"/>
          <c:dLbls>
            <c:delete val="1"/>
          </c:dLbls>
          <c:cat>
            <c:strRef>
              <c:f>Sheet1!$A$2:$A$5</c:f>
              <c:strCache>
                <c:ptCount val="4"/>
                <c:pt idx="0">
                  <c:v>2020年收入支出</c:v>
                </c:pt>
                <c:pt idx="1">
                  <c:v>2021年收入支出</c:v>
                </c:pt>
              </c:strCache>
            </c:strRef>
          </c:cat>
          <c:val>
            <c:numRef>
              <c:f>Sheet1!$D$2:$D$5</c:f>
              <c:numCache>
                <c:formatCode>General</c:formatCode>
                <c:ptCount val="4"/>
              </c:numCache>
            </c:numRef>
          </c:val>
        </c:ser>
        <c:dLbls>
          <c:showLegendKey val="0"/>
          <c:showVal val="0"/>
          <c:showCatName val="0"/>
          <c:showSerName val="0"/>
          <c:showPercent val="0"/>
          <c:showBubbleSize val="0"/>
        </c:dLbls>
        <c:gapWidth val="219"/>
        <c:overlap val="-27"/>
        <c:axId val="589237426"/>
        <c:axId val="349651033"/>
      </c:barChart>
      <c:catAx>
        <c:axId val="58923742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49651033"/>
        <c:crosses val="autoZero"/>
        <c:auto val="1"/>
        <c:lblAlgn val="ctr"/>
        <c:lblOffset val="100"/>
        <c:noMultiLvlLbl val="0"/>
      </c:catAx>
      <c:valAx>
        <c:axId val="34965103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923742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财政拨款收支对比</a:t>
            </a:r>
          </a:p>
        </c:rich>
      </c:tx>
      <c:layout/>
      <c:overlay val="0"/>
      <c:spPr>
        <a:noFill/>
        <a:ln>
          <a:noFill/>
        </a:ln>
        <a:effectLst/>
      </c:spPr>
    </c:title>
    <c:autoTitleDeleted val="0"/>
    <c:plotArea>
      <c:layout>
        <c:manualLayout>
          <c:layoutTarget val="inner"/>
          <c:xMode val="edge"/>
          <c:yMode val="edge"/>
          <c:x val="0.0676307692307692"/>
          <c:y val="0.0922879726554155"/>
          <c:w val="0.869292307692308"/>
          <c:h val="0.637556077761162"/>
        </c:manualLayout>
      </c:layout>
      <c:barChart>
        <c:barDir val="col"/>
        <c:grouping val="clustered"/>
        <c:varyColors val="0"/>
        <c:ser>
          <c:idx val="0"/>
          <c:order val="0"/>
          <c:tx>
            <c:strRef>
              <c:f>Sheet1!$B$1</c:f>
              <c:strCache>
                <c:ptCount val="1"/>
                <c:pt idx="0">
                  <c:v>年初预算数</c:v>
                </c:pt>
              </c:strCache>
            </c:strRef>
          </c:tx>
          <c:spPr>
            <a:solidFill>
              <a:schemeClr val="accent1"/>
            </a:solidFill>
            <a:ln>
              <a:noFill/>
            </a:ln>
            <a:effectLst/>
          </c:spPr>
          <c:invertIfNegative val="0"/>
          <c:dLbls>
            <c:delete val="1"/>
          </c:dLbls>
          <c:cat>
            <c:strRef>
              <c:f>Sheet1!$A$2:$A$5</c:f>
              <c:strCache>
                <c:ptCount val="4"/>
                <c:pt idx="0">
                  <c:v>财政拨款收入</c:v>
                </c:pt>
                <c:pt idx="1">
                  <c:v>财政拨款支出</c:v>
                </c:pt>
              </c:strCache>
            </c:strRef>
          </c:cat>
          <c:val>
            <c:numRef>
              <c:f>Sheet1!$B$2:$B$5</c:f>
              <c:numCache>
                <c:formatCode>General</c:formatCode>
                <c:ptCount val="4"/>
                <c:pt idx="0">
                  <c:v>1397.47</c:v>
                </c:pt>
                <c:pt idx="1">
                  <c:v>1397.47</c:v>
                </c:pt>
              </c:numCache>
            </c:numRef>
          </c:val>
        </c:ser>
        <c:ser>
          <c:idx val="1"/>
          <c:order val="1"/>
          <c:tx>
            <c:strRef>
              <c:f>Sheet1!$C$1</c:f>
              <c:strCache>
                <c:ptCount val="1"/>
                <c:pt idx="0">
                  <c:v>年末决算数</c:v>
                </c:pt>
              </c:strCache>
            </c:strRef>
          </c:tx>
          <c:spPr>
            <a:solidFill>
              <a:schemeClr val="accent2"/>
            </a:solidFill>
            <a:ln>
              <a:noFill/>
            </a:ln>
            <a:effectLst/>
          </c:spPr>
          <c:invertIfNegative val="0"/>
          <c:dLbls>
            <c:delete val="1"/>
          </c:dLbls>
          <c:cat>
            <c:strRef>
              <c:f>Sheet1!$A$2:$A$5</c:f>
              <c:strCache>
                <c:ptCount val="4"/>
                <c:pt idx="0">
                  <c:v>财政拨款收入</c:v>
                </c:pt>
                <c:pt idx="1">
                  <c:v>财政拨款支出</c:v>
                </c:pt>
              </c:strCache>
            </c:strRef>
          </c:cat>
          <c:val>
            <c:numRef>
              <c:f>Sheet1!$C$2:$C$5</c:f>
              <c:numCache>
                <c:formatCode>General</c:formatCode>
                <c:ptCount val="4"/>
                <c:pt idx="0">
                  <c:v>1697.76</c:v>
                </c:pt>
                <c:pt idx="1">
                  <c:v>1697.76</c:v>
                </c:pt>
              </c:numCache>
            </c:numRef>
          </c:val>
        </c:ser>
        <c:ser>
          <c:idx val="2"/>
          <c:order val="2"/>
          <c:tx>
            <c:strRef>
              <c:f>Sheet1!$D$1</c:f>
              <c:strCache>
                <c:ptCount val="1"/>
                <c:pt idx="0">
                  <c:v/>
                </c:pt>
              </c:strCache>
            </c:strRef>
          </c:tx>
          <c:spPr>
            <a:solidFill>
              <a:schemeClr val="accent3"/>
            </a:solidFill>
            <a:ln>
              <a:noFill/>
            </a:ln>
            <a:effectLst/>
          </c:spPr>
          <c:invertIfNegative val="0"/>
          <c:dLbls>
            <c:delete val="1"/>
          </c:dLbls>
          <c:cat>
            <c:strRef>
              <c:f>Sheet1!$A$2:$A$5</c:f>
              <c:strCache>
                <c:ptCount val="4"/>
                <c:pt idx="0">
                  <c:v>财政拨款收入</c:v>
                </c:pt>
                <c:pt idx="1">
                  <c:v>财政拨款支出</c:v>
                </c:pt>
              </c:strCache>
            </c:strRef>
          </c:cat>
          <c:val>
            <c:numRef>
              <c:f>Sheet1!$D$2:$D$5</c:f>
              <c:numCache>
                <c:formatCode>General</c:formatCode>
                <c:ptCount val="4"/>
              </c:numCache>
            </c:numRef>
          </c:val>
        </c:ser>
        <c:dLbls>
          <c:showLegendKey val="0"/>
          <c:showVal val="0"/>
          <c:showCatName val="0"/>
          <c:showSerName val="0"/>
          <c:showPercent val="0"/>
          <c:showBubbleSize val="0"/>
        </c:dLbls>
        <c:gapWidth val="219"/>
        <c:overlap val="-27"/>
        <c:axId val="132279165"/>
        <c:axId val="23164760"/>
      </c:barChart>
      <c:catAx>
        <c:axId val="13227916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3164760"/>
        <c:crosses val="autoZero"/>
        <c:auto val="1"/>
        <c:lblAlgn val="ctr"/>
        <c:lblOffset val="100"/>
        <c:noMultiLvlLbl val="0"/>
      </c:catAx>
      <c:valAx>
        <c:axId val="23164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2279165"/>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19</Pages>
  <Words>4259</Words>
  <Characters>4563</Characters>
  <Lines>1</Lines>
  <Paragraphs>1</Paragraphs>
  <TotalTime>1</TotalTime>
  <ScaleCrop>false</ScaleCrop>
  <LinksUpToDate>false</LinksUpToDate>
  <CharactersWithSpaces>4608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步越</cp:lastModifiedBy>
  <dcterms:modified xsi:type="dcterms:W3CDTF">2023-07-25T09:50:44Z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C00B128A7BDF4063851C87BF5CA6D4F4</vt:lpwstr>
  </property>
</Properties>
</file>