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EF3" w:rsidRDefault="001D2032">
      <w:pPr>
        <w:widowControl/>
        <w:jc w:val="left"/>
      </w:pPr>
      <w:r>
        <w:rPr>
          <w:rFonts w:hint="eastAsia"/>
          <w:noProof/>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10">
                      <a:extLst>
                        <a:ext uri="{96DAC541-7B7A-43D3-8B79-37D633B846F1}">
                          <asvg:svgBlip xmlns:asvg="http://schemas.microsoft.com/office/drawing/2016/SVG/main" xmlns:wpsCustomData="http://www.wps.cn/officeDocument/2013/wpsCustomData" xmlns:w15="http://schemas.microsoft.com/office/word/2012/wordml" xmlns:w10="urn:schemas-microsoft-com:office:word" xmlns:w="http://schemas.openxmlformats.org/wordprocessingml/2006/main" xmlns:v="urn:schemas-microsoft-com:vml" xmlns:o="urn:schemas-microsoft-com:office:office" xmlns="" r:embed="rId14"/>
                        </a:ext>
                      </a:extLst>
                    </a:blip>
                    <a:stretch>
                      <a:fillRect/>
                    </a:stretch>
                  </pic:blipFill>
                  <pic:spPr>
                    <a:xfrm>
                      <a:off x="0" y="0"/>
                      <a:ext cx="610235" cy="610235"/>
                    </a:xfrm>
                    <a:prstGeom prst="rect">
                      <a:avLst/>
                    </a:prstGeom>
                  </pic:spPr>
                </pic:pic>
              </a:graphicData>
            </a:graphic>
          </wp:anchor>
        </w:drawing>
      </w:r>
      <w:r>
        <w:rPr>
          <w:noProof/>
        </w:rP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rsidR="00A86EF3" w:rsidRDefault="001D2032">
                            <w:pPr>
                              <w:spacing w:line="600" w:lineRule="auto"/>
                              <w:jc w:val="center"/>
                              <w:rPr>
                                <w:rFonts w:ascii="楷体_GB2312" w:eastAsia="楷体_GB2312" w:hAnsi="楷体_GB2312" w:cs="楷体_GB2312"/>
                                <w:color w:val="000000"/>
                                <w:sz w:val="40"/>
                                <w:szCs w:val="40"/>
                              </w:rPr>
                            </w:pPr>
                            <w:r>
                              <w:rPr>
                                <w:rFonts w:ascii="楷体_GB2312" w:eastAsia="楷体_GB2312" w:hAnsi="楷体_GB2312" w:cs="楷体_GB2312" w:hint="eastAsia"/>
                                <w:color w:val="000000"/>
                                <w:sz w:val="40"/>
                                <w:szCs w:val="40"/>
                              </w:rPr>
                              <w:t>二〇二二年十月</w:t>
                            </w:r>
                          </w:p>
                        </w:txbxContent>
                      </wps:txbx>
                      <wps:bodyPr rot="0" vert="horz" wrap="square" lIns="91440" tIns="45720" rIns="91440" bIns="45720" anchor="t" anchorCtr="0">
                        <a:noAutofit/>
                      </wps:bodyPr>
                    </wps:wsp>
                  </a:graphicData>
                </a:graphic>
              </wp:anchor>
            </w:drawing>
          </mc:Choice>
          <mc:Fallback xmlns:wpsCustomData="http://www.wps.cn/officeDocument/2013/wpsCustomData" xmlns:w15="http://schemas.microsoft.com/office/word/2012/wordml">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二〇二二年十月</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rsidR="00A86EF3" w:rsidRDefault="001D2032">
                            <w:pPr>
                              <w:spacing w:line="600" w:lineRule="auto"/>
                              <w:jc w:val="left"/>
                              <w:rPr>
                                <w:rFonts w:ascii="楷体_GB2312" w:eastAsia="楷体_GB2312" w:hAnsi="楷体_GB2312" w:cs="楷体_GB2312"/>
                                <w:color w:val="000000"/>
                                <w:sz w:val="40"/>
                                <w:szCs w:val="40"/>
                              </w:rPr>
                            </w:pPr>
                            <w:r>
                              <w:rPr>
                                <w:rFonts w:ascii="黑体" w:eastAsia="黑体" w:hAnsi="黑体" w:cs="黑体" w:hint="eastAsia"/>
                                <w:color w:val="000000"/>
                                <w:sz w:val="40"/>
                                <w:szCs w:val="40"/>
                              </w:rPr>
                              <w:t>预算代码</w:t>
                            </w:r>
                            <w:r>
                              <w:rPr>
                                <w:rFonts w:ascii="楷体_GB2312" w:eastAsia="楷体_GB2312" w:hAnsi="楷体_GB2312" w:cs="楷体_GB2312" w:hint="eastAsia"/>
                                <w:color w:val="000000"/>
                                <w:sz w:val="40"/>
                                <w:szCs w:val="40"/>
                              </w:rPr>
                              <w:t>：</w:t>
                            </w:r>
                            <w:r>
                              <w:rPr>
                                <w:rFonts w:ascii="楷体_GB2312" w:eastAsia="楷体_GB2312" w:hAnsi="楷体_GB2312" w:cs="楷体_GB2312" w:hint="eastAsia"/>
                                <w:color w:val="000000"/>
                                <w:sz w:val="40"/>
                                <w:szCs w:val="40"/>
                              </w:rPr>
                              <w:t>360008</w:t>
                            </w:r>
                          </w:p>
                          <w:p w:rsidR="00A86EF3" w:rsidRDefault="001D2032">
                            <w:pPr>
                              <w:spacing w:line="600" w:lineRule="auto"/>
                              <w:jc w:val="left"/>
                              <w:rPr>
                                <w:rFonts w:ascii="楷体_GB2312" w:eastAsia="楷体_GB2312" w:hAnsi="楷体_GB2312" w:cs="楷体_GB2312"/>
                                <w:color w:val="000000"/>
                                <w:sz w:val="40"/>
                                <w:szCs w:val="40"/>
                              </w:rPr>
                            </w:pPr>
                            <w:r>
                              <w:rPr>
                                <w:rFonts w:ascii="黑体" w:eastAsia="黑体" w:hAnsi="黑体" w:cs="黑体" w:hint="eastAsia"/>
                                <w:color w:val="000000"/>
                                <w:sz w:val="40"/>
                                <w:szCs w:val="40"/>
                              </w:rPr>
                              <w:t>单位名称</w:t>
                            </w:r>
                            <w:r>
                              <w:rPr>
                                <w:rFonts w:ascii="楷体_GB2312" w:eastAsia="楷体_GB2312" w:hAnsi="楷体_GB2312" w:cs="楷体_GB2312" w:hint="eastAsia"/>
                                <w:color w:val="000000"/>
                                <w:sz w:val="40"/>
                                <w:szCs w:val="40"/>
                              </w:rPr>
                              <w:t>：石家庄市</w:t>
                            </w:r>
                            <w:proofErr w:type="gramStart"/>
                            <w:r>
                              <w:rPr>
                                <w:rFonts w:ascii="楷体_GB2312" w:eastAsia="楷体_GB2312" w:hAnsi="楷体_GB2312" w:cs="楷体_GB2312" w:hint="eastAsia"/>
                                <w:color w:val="000000"/>
                                <w:sz w:val="40"/>
                                <w:szCs w:val="40"/>
                              </w:rPr>
                              <w:t>藁</w:t>
                            </w:r>
                            <w:proofErr w:type="gramEnd"/>
                            <w:r>
                              <w:rPr>
                                <w:rFonts w:ascii="楷体_GB2312" w:eastAsia="楷体_GB2312" w:hAnsi="楷体_GB2312" w:cs="楷体_GB2312" w:hint="eastAsia"/>
                                <w:color w:val="000000"/>
                                <w:sz w:val="40"/>
                                <w:szCs w:val="40"/>
                              </w:rPr>
                              <w:t>城区第七中学</w:t>
                            </w:r>
                          </w:p>
                        </w:txbxContent>
                      </wps:txbx>
                      <wps:bodyPr rot="0" vert="horz" wrap="square" lIns="91440" tIns="45720" rIns="91440" bIns="45720" anchor="t" anchorCtr="0">
                        <a:noAutofit/>
                      </wps:bodyPr>
                    </wps:wsp>
                  </a:graphicData>
                </a:graphic>
              </wp:anchor>
            </w:drawing>
          </mc:Choice>
          <mc:Fallback xmlns:wpsCustomData="http://www.wps.cn/officeDocument/2013/wpsCustomData" xmlns:w15="http://schemas.microsoft.com/office/word/2012/wordml">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：360008</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：石家庄市藁城区第七中学</w:t>
                      </w:r>
                    </w:p>
                  </w:txbxContent>
                </v:textbox>
              </v:shape>
            </w:pict>
          </mc:Fallback>
        </mc:AlternateContent>
      </w:r>
      <w:r>
        <w:rPr>
          <w:noProof/>
        </w:rP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86EF3" w:rsidRDefault="00A86EF3">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5"/>
                          <a:stretch>
                            <a:fillRect/>
                          </a:stretch>
                        </pic:blipFill>
                        <pic:spPr>
                          <a:xfrm>
                            <a:off x="5240" y="6098"/>
                            <a:ext cx="10027" cy="5499"/>
                          </a:xfrm>
                          <a:prstGeom prst="rect">
                            <a:avLst/>
                          </a:prstGeom>
                        </pic:spPr>
                      </pic:pic>
                    </wpg:wgp>
                  </a:graphicData>
                </a:graphic>
              </wp:anchor>
            </w:drawing>
          </mc:Choice>
          <mc:Fallback xmlns:wpsCustomData="http://www.wps.cn/officeDocument/2013/wpsCustomData" xmlns:w15="http://schemas.microsoft.com/office/word/2012/wordml">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6" o:title=""/>
                  <o:lock v:ext="edit" aspectratio="t"/>
                </v:shape>
              </v:group>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rsidR="00A86EF3" w:rsidRDefault="00A86EF3">
                            <w:pPr>
                              <w:jc w:val="distribute"/>
                              <w:rPr>
                                <w:rFonts w:ascii="思源黑体 CN Heavy" w:eastAsia="思源黑体 CN Heavy" w:hAnsi="思源黑体 CN Heavy"/>
                                <w:color w:val="A6A6A6" w:themeColor="background1" w:themeShade="A6"/>
                                <w:kern w:val="0"/>
                                <w:sz w:val="40"/>
                                <w:szCs w:val="40"/>
                              </w:rPr>
                            </w:pPr>
                          </w:p>
                        </w:txbxContent>
                      </wps:txbx>
                      <wps:bodyPr wrap="square" rtlCol="0">
                        <a:noAutofit/>
                      </wps:bodyPr>
                    </wps:wsp>
                  </a:graphicData>
                </a:graphic>
              </wp:anchor>
            </w:drawing>
          </mc:Choice>
          <mc:Fallback xmlns:wpsCustomData="http://www.wps.cn/officeDocument/2013/wpsCustomData" xmlns:w15="http://schemas.microsoft.com/office/word/2012/wordml">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rsidR="00A86EF3" w:rsidRDefault="001D2032">
                              <w:pPr>
                                <w:jc w:val="left"/>
                                <w:rPr>
                                  <w:rFonts w:ascii="思源黑体 CN Bold" w:eastAsia="思源黑体 CN Bold" w:hAnsi="思源黑体 CN Bold"/>
                                  <w:b/>
                                  <w:bCs/>
                                  <w:color w:val="002060"/>
                                  <w:kern w:val="0"/>
                                  <w:sz w:val="24"/>
                                  <w:szCs w:val="24"/>
                                </w:rPr>
                              </w:pPr>
                              <w:r>
                                <w:rPr>
                                  <w:rFonts w:ascii="思源黑体 CN Bold" w:eastAsia="思源黑体 CN Bold" w:hAnsi="思源黑体 CN Bold" w:hint="eastAsia"/>
                                  <w:b/>
                                  <w:bCs/>
                                  <w:color w:val="002060"/>
                                  <w:spacing w:val="60"/>
                                  <w:kern w:val="24"/>
                                  <w:sz w:val="96"/>
                                  <w:szCs w:val="96"/>
                                </w:rPr>
                                <w:t>部门决算公开文本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psCustomData="http://www.wps.cn/officeDocument/2013/wpsCustomData" xmlns:w15="http://schemas.microsoft.com/office/word/2012/wordml">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部门决算公开文本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rsidR="00A86EF3" w:rsidRDefault="001D2032">
                            <w:pPr>
                              <w:jc w:val="distribute"/>
                              <w:rPr>
                                <w:rFonts w:ascii="方正魏碑简体" w:eastAsia="方正魏碑简体" w:hAnsi="Arial" w:cs="Arial"/>
                                <w:b/>
                                <w:bCs/>
                                <w:color w:val="002060"/>
                                <w:kern w:val="0"/>
                                <w:sz w:val="22"/>
                              </w:rPr>
                            </w:pPr>
                            <w:r>
                              <w:rPr>
                                <w:rFonts w:ascii="方正魏碑简体" w:eastAsia="方正魏碑简体" w:hAnsi="Arial" w:cs="Arial" w:hint="eastAsia"/>
                                <w:b/>
                                <w:bCs/>
                                <w:color w:val="002060"/>
                                <w:spacing w:val="60"/>
                                <w:kern w:val="24"/>
                                <w:sz w:val="72"/>
                                <w:szCs w:val="72"/>
                              </w:rPr>
                              <w:t>2021</w:t>
                            </w:r>
                            <w:r>
                              <w:rPr>
                                <w:rFonts w:ascii="方正魏碑简体" w:eastAsia="方正魏碑简体" w:hAnsi="Arial" w:cs="Arial" w:hint="eastAsia"/>
                                <w:b/>
                                <w:bCs/>
                                <w:color w:val="002060"/>
                                <w:spacing w:val="60"/>
                                <w:kern w:val="24"/>
                                <w:sz w:val="72"/>
                                <w:szCs w:val="72"/>
                              </w:rPr>
                              <w:t>年度</w:t>
                            </w:r>
                          </w:p>
                        </w:txbxContent>
                      </wps:txbx>
                      <wps:bodyPr wrap="square" rtlCol="0">
                        <a:noAutofit/>
                      </wps:bodyPr>
                    </wps:wsp>
                  </a:graphicData>
                </a:graphic>
              </wp:anchor>
            </w:drawing>
          </mc:Choice>
          <mc:Fallback xmlns:wpsCustomData="http://www.wps.cn/officeDocument/2013/wpsCustomData" xmlns:w15="http://schemas.microsoft.com/office/word/2012/wordml">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rPr>
          <w:noProof/>
        </w:rP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rsidR="00A86EF3" w:rsidRDefault="00A86EF3">
      <w:pPr>
        <w:jc w:val="center"/>
        <w:rPr>
          <w:rFonts w:ascii="黑体" w:eastAsia="黑体" w:hAnsi="黑体" w:cs="黑体"/>
          <w:sz w:val="56"/>
          <w:szCs w:val="72"/>
        </w:rPr>
        <w:sectPr w:rsidR="00A86EF3">
          <w:headerReference w:type="default" r:id="rId18"/>
          <w:footerReference w:type="default" r:id="rId19"/>
          <w:headerReference w:type="first" r:id="rId20"/>
          <w:footerReference w:type="first" r:id="rId21"/>
          <w:pgSz w:w="11906" w:h="16838"/>
          <w:pgMar w:top="2041" w:right="1531" w:bottom="2041" w:left="1531" w:header="851" w:footer="992" w:gutter="0"/>
          <w:cols w:space="0"/>
          <w:titlePg/>
          <w:docGrid w:type="lines" w:linePitch="312"/>
        </w:sectPr>
      </w:pPr>
    </w:p>
    <w:p w:rsidR="00A86EF3" w:rsidRDefault="001D2032">
      <w:pPr>
        <w:tabs>
          <w:tab w:val="left" w:pos="2728"/>
        </w:tabs>
        <w:jc w:val="center"/>
        <w:rPr>
          <w:rFonts w:ascii="黑体" w:eastAsia="黑体" w:hAnsi="Times New Roman" w:cs="Times New Roman"/>
          <w:sz w:val="48"/>
          <w:szCs w:val="48"/>
        </w:rPr>
      </w:pPr>
      <w:r>
        <w:rPr>
          <w:rFonts w:ascii="黑体" w:eastAsia="黑体" w:hAnsi="Times New Roman" w:cs="Times New Roman" w:hint="eastAsia"/>
          <w:noProof/>
          <w:sz w:val="48"/>
          <w:szCs w:val="48"/>
        </w:rPr>
        <w:lastRenderedPageBreak/>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22">
                      <a:extLst>
                        <a:ext uri="{96DAC541-7B7A-43D3-8B79-37D633B846F1}">
                          <asvg:svgBlip xmlns:asvg="http://schemas.microsoft.com/office/drawing/2016/SVG/main" xmlns:wpsCustomData="http://www.wps.cn/officeDocument/2013/wpsCustomData" xmlns:w15="http://schemas.microsoft.com/office/word/2012/wordml" xmlns:w10="urn:schemas-microsoft-com:office:word" xmlns:w="http://schemas.openxmlformats.org/wordprocessingml/2006/main" xmlns:v="urn:schemas-microsoft-com:vml" xmlns:o="urn:schemas-microsoft-com:office:office" xmlns="" r:embed="rId23"/>
                        </a:ext>
                      </a:extLst>
                    </a:blip>
                    <a:stretch>
                      <a:fillRect/>
                    </a:stretch>
                  </pic:blipFill>
                  <pic:spPr>
                    <a:xfrm>
                      <a:off x="0" y="0"/>
                      <a:ext cx="639445" cy="639445"/>
                    </a:xfrm>
                    <a:prstGeom prst="rect">
                      <a:avLst/>
                    </a:prstGeom>
                  </pic:spPr>
                </pic:pic>
              </a:graphicData>
            </a:graphic>
          </wp:anchor>
        </w:drawing>
      </w:r>
    </w:p>
    <w:p w:rsidR="00A86EF3" w:rsidRDefault="001D2032">
      <w:pPr>
        <w:tabs>
          <w:tab w:val="left" w:pos="2728"/>
        </w:tabs>
        <w:jc w:val="center"/>
        <w:rPr>
          <w:rFonts w:ascii="黑体" w:eastAsia="黑体" w:hAnsi="Times New Roman" w:cs="Times New Roman"/>
          <w:sz w:val="44"/>
          <w:szCs w:val="44"/>
        </w:rPr>
      </w:pPr>
      <w:r>
        <w:rPr>
          <w:rFonts w:ascii="黑体" w:eastAsia="黑体" w:hAnsi="Times New Roman" w:cs="Times New Roman" w:hint="eastAsia"/>
          <w:sz w:val="44"/>
          <w:szCs w:val="44"/>
        </w:rPr>
        <w:t>目</w:t>
      </w:r>
      <w:r>
        <w:rPr>
          <w:rFonts w:ascii="黑体" w:eastAsia="黑体" w:hAnsi="Times New Roman" w:cs="Times New Roman" w:hint="eastAsia"/>
          <w:sz w:val="44"/>
          <w:szCs w:val="44"/>
        </w:rPr>
        <w:t xml:space="preserve">    </w:t>
      </w:r>
      <w:r>
        <w:rPr>
          <w:rFonts w:ascii="黑体" w:eastAsia="黑体" w:hAnsi="Times New Roman" w:cs="Times New Roman" w:hint="eastAsia"/>
          <w:sz w:val="44"/>
          <w:szCs w:val="44"/>
        </w:rPr>
        <w:t>录</w:t>
      </w:r>
    </w:p>
    <w:p w:rsidR="00A86EF3" w:rsidRDefault="00A86EF3">
      <w:pPr>
        <w:widowControl/>
        <w:spacing w:after="160" w:line="580" w:lineRule="exact"/>
        <w:ind w:firstLineChars="200" w:firstLine="640"/>
        <w:rPr>
          <w:rFonts w:ascii="Times New Roman" w:eastAsia="黑体" w:hAnsi="Times New Roman" w:cs="Times New Roman"/>
          <w:sz w:val="32"/>
          <w:szCs w:val="32"/>
        </w:rPr>
      </w:pPr>
    </w:p>
    <w:p w:rsidR="00A86EF3" w:rsidRDefault="001D2032">
      <w:pPr>
        <w:widowControl/>
        <w:spacing w:after="160" w:line="580" w:lineRule="exact"/>
        <w:ind w:firstLineChars="200" w:firstLine="640"/>
        <w:rPr>
          <w:rFonts w:ascii="Times New Roman" w:eastAsia="仿宋_GB2312" w:hAnsi="Times New Roman" w:cs="Times New Roman"/>
          <w:sz w:val="24"/>
          <w:szCs w:val="32"/>
        </w:rPr>
      </w:pPr>
      <w:r>
        <w:rPr>
          <w:rFonts w:ascii="Times New Roman" w:eastAsia="黑体" w:hAnsi="Times New Roman" w:cs="Times New Roman"/>
          <w:sz w:val="32"/>
          <w:szCs w:val="32"/>
        </w:rPr>
        <w:t>第一部分</w:t>
      </w:r>
      <w:r>
        <w:rPr>
          <w:rFonts w:ascii="Times New Roman" w:eastAsia="黑体" w:hAnsi="Times New Roman" w:cs="Times New Roman"/>
          <w:sz w:val="32"/>
          <w:szCs w:val="32"/>
        </w:rPr>
        <w:t xml:space="preserve">   </w:t>
      </w:r>
      <w:r>
        <w:rPr>
          <w:rFonts w:ascii="Times New Roman" w:eastAsia="黑体" w:hAnsi="Times New Roman" w:cs="Times New Roman"/>
          <w:sz w:val="32"/>
          <w:szCs w:val="32"/>
        </w:rPr>
        <w:t>部门概况</w:t>
      </w:r>
    </w:p>
    <w:p w:rsidR="00A86EF3" w:rsidRDefault="001D2032" w:rsidP="00C73FD3">
      <w:pPr>
        <w:widowControl/>
        <w:spacing w:after="160" w:line="580" w:lineRule="exact"/>
        <w:ind w:firstLineChars="398" w:firstLine="1274"/>
        <w:rPr>
          <w:rFonts w:ascii="Times New Roman" w:eastAsia="仿宋_GB2312" w:hAnsi="Times New Roman" w:cs="Times New Roman"/>
          <w:sz w:val="32"/>
          <w:szCs w:val="32"/>
        </w:rPr>
      </w:pPr>
      <w:r>
        <w:rPr>
          <w:rFonts w:ascii="Times New Roman" w:eastAsia="仿宋_GB2312" w:hAnsi="Times New Roman" w:cs="Times New Roman"/>
          <w:sz w:val="32"/>
          <w:szCs w:val="32"/>
        </w:rPr>
        <w:t>一、部门</w:t>
      </w:r>
      <w:r>
        <w:rPr>
          <w:rFonts w:ascii="Times New Roman" w:eastAsia="仿宋_GB2312" w:hAnsi="Times New Roman" w:cs="Times New Roman" w:hint="eastAsia"/>
          <w:sz w:val="32"/>
          <w:szCs w:val="32"/>
        </w:rPr>
        <w:t>职责</w:t>
      </w:r>
    </w:p>
    <w:p w:rsidR="00A86EF3" w:rsidRDefault="001D2032" w:rsidP="00C73FD3">
      <w:pPr>
        <w:widowControl/>
        <w:spacing w:after="160" w:line="580" w:lineRule="exact"/>
        <w:ind w:firstLineChars="398" w:firstLine="1274"/>
        <w:rPr>
          <w:rFonts w:ascii="Times New Roman" w:eastAsia="仿宋_GB2312"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hint="eastAsia"/>
          <w:sz w:val="32"/>
          <w:szCs w:val="32"/>
        </w:rPr>
        <w:t>机构设置</w:t>
      </w:r>
    </w:p>
    <w:p w:rsidR="00A86EF3" w:rsidRDefault="001D2032">
      <w:pPr>
        <w:widowControl/>
        <w:spacing w:after="160" w:line="580" w:lineRule="exact"/>
        <w:ind w:firstLineChars="200" w:firstLine="640"/>
        <w:rPr>
          <w:rFonts w:ascii="Times New Roman" w:eastAsia="仿宋_GB2312" w:hAnsi="Times New Roman" w:cs="Times New Roman"/>
          <w:sz w:val="20"/>
          <w:szCs w:val="32"/>
        </w:rPr>
      </w:pPr>
      <w:r>
        <w:rPr>
          <w:rFonts w:ascii="Times New Roman" w:eastAsia="黑体" w:hAnsi="Times New Roman" w:cs="Times New Roman"/>
          <w:sz w:val="32"/>
          <w:szCs w:val="32"/>
        </w:rPr>
        <w:t>第二部分</w:t>
      </w:r>
      <w:r>
        <w:rPr>
          <w:rFonts w:ascii="Times New Roman" w:eastAsia="黑体" w:hAnsi="Times New Roman" w:cs="Times New Roman" w:hint="eastAsia"/>
          <w:sz w:val="32"/>
          <w:szCs w:val="32"/>
        </w:rPr>
        <w:t xml:space="preserve">   2021</w:t>
      </w:r>
      <w:r>
        <w:rPr>
          <w:rFonts w:ascii="Times New Roman" w:eastAsia="黑体" w:hAnsi="Times New Roman" w:cs="Times New Roman" w:hint="eastAsia"/>
          <w:sz w:val="32"/>
          <w:szCs w:val="32"/>
        </w:rPr>
        <w:t>年</w:t>
      </w:r>
      <w:r>
        <w:rPr>
          <w:rFonts w:ascii="Times New Roman" w:eastAsia="黑体" w:hAnsi="Times New Roman" w:cs="Times New Roman"/>
          <w:sz w:val="32"/>
          <w:szCs w:val="32"/>
        </w:rPr>
        <w:t>度</w:t>
      </w:r>
      <w:r w:rsidR="00C73FD3">
        <w:rPr>
          <w:rFonts w:ascii="Times New Roman" w:eastAsia="黑体" w:hAnsi="Times New Roman" w:cs="Times New Roman"/>
          <w:sz w:val="32"/>
          <w:szCs w:val="32"/>
        </w:rPr>
        <w:t>单位</w:t>
      </w:r>
      <w:r>
        <w:rPr>
          <w:rFonts w:ascii="Times New Roman" w:eastAsia="黑体" w:hAnsi="Times New Roman" w:cs="Times New Roman"/>
          <w:sz w:val="32"/>
          <w:szCs w:val="32"/>
        </w:rPr>
        <w:t>决算报表</w:t>
      </w:r>
    </w:p>
    <w:p w:rsidR="00A86EF3" w:rsidRDefault="001D2032">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第三部分</w:t>
      </w:r>
      <w:r>
        <w:rPr>
          <w:rFonts w:ascii="Times New Roman" w:eastAsia="黑体" w:hAnsi="Times New Roman" w:cs="Times New Roman"/>
          <w:sz w:val="32"/>
          <w:szCs w:val="32"/>
        </w:rPr>
        <w:t xml:space="preserve">   </w:t>
      </w:r>
      <w:r>
        <w:rPr>
          <w:rFonts w:ascii="Times New Roman" w:eastAsia="黑体" w:hAnsi="Times New Roman" w:cs="Times New Roman" w:hint="eastAsia"/>
          <w:sz w:val="32"/>
          <w:szCs w:val="32"/>
        </w:rPr>
        <w:t>2021</w:t>
      </w:r>
      <w:r>
        <w:rPr>
          <w:rFonts w:ascii="Times New Roman" w:eastAsia="黑体" w:hAnsi="Times New Roman" w:cs="Times New Roman" w:hint="eastAsia"/>
          <w:sz w:val="32"/>
          <w:szCs w:val="32"/>
        </w:rPr>
        <w:t>年</w:t>
      </w:r>
      <w:r w:rsidR="00C73FD3">
        <w:rPr>
          <w:rFonts w:ascii="Times New Roman" w:eastAsia="黑体" w:hAnsi="Times New Roman" w:cs="Times New Roman"/>
          <w:sz w:val="32"/>
          <w:szCs w:val="32"/>
        </w:rPr>
        <w:t>单位</w:t>
      </w:r>
      <w:r>
        <w:rPr>
          <w:rFonts w:ascii="Times New Roman" w:eastAsia="黑体" w:hAnsi="Times New Roman" w:cs="Times New Roman"/>
          <w:sz w:val="32"/>
          <w:szCs w:val="32"/>
        </w:rPr>
        <w:t>决算情况说明</w:t>
      </w:r>
    </w:p>
    <w:p w:rsidR="00A86EF3" w:rsidRDefault="001D2032">
      <w:pPr>
        <w:widowControl/>
        <w:spacing w:after="160" w:line="58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hint="eastAsia"/>
          <w:sz w:val="32"/>
          <w:szCs w:val="32"/>
        </w:rPr>
        <w:t>收入支出决算总体情况说明</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二、收入决算情况说明</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三、支出决算情况说明</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w:t>
      </w:r>
      <w:r>
        <w:rPr>
          <w:rFonts w:ascii="Times New Roman" w:eastAsia="仿宋_GB2312" w:hAnsi="Times New Roman" w:cs="Times New Roman" w:hint="eastAsia"/>
          <w:sz w:val="32"/>
          <w:szCs w:val="32"/>
        </w:rPr>
        <w:t>财政拨款收入支出决算总体情况说明</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五、一般公共预算“三公”</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经费支出决算情况说明</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六、预算绩效情况说明</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七、机关运行经费情况</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八</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政府采购情况</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九、国有资产占用情况</w:t>
      </w:r>
    </w:p>
    <w:p w:rsidR="00A86EF3" w:rsidRDefault="001D2032">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十、其他需要说明的情况</w:t>
      </w:r>
    </w:p>
    <w:p w:rsidR="00A86EF3" w:rsidRDefault="001D2032">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w:t>
      </w:r>
      <w:r>
        <w:rPr>
          <w:rFonts w:ascii="Times New Roman" w:eastAsia="黑体" w:hAnsi="Times New Roman" w:cs="Times New Roman" w:hint="eastAsia"/>
          <w:sz w:val="32"/>
          <w:szCs w:val="32"/>
        </w:rPr>
        <w:t>四</w:t>
      </w:r>
      <w:r>
        <w:rPr>
          <w:rFonts w:ascii="Times New Roman" w:eastAsia="黑体" w:hAnsi="Times New Roman" w:cs="Times New Roman"/>
          <w:sz w:val="32"/>
          <w:szCs w:val="32"/>
        </w:rPr>
        <w:t>部分</w:t>
      </w:r>
      <w:r>
        <w:rPr>
          <w:rFonts w:ascii="Times New Roman" w:eastAsia="黑体" w:hAnsi="Times New Roman" w:cs="Times New Roman" w:hint="eastAsia"/>
          <w:sz w:val="32"/>
          <w:szCs w:val="32"/>
        </w:rPr>
        <w:t xml:space="preserve">  </w:t>
      </w:r>
      <w:r>
        <w:rPr>
          <w:rFonts w:ascii="Times New Roman" w:eastAsia="黑体" w:hAnsi="Times New Roman" w:cs="Times New Roman"/>
          <w:sz w:val="32"/>
          <w:szCs w:val="32"/>
        </w:rPr>
        <w:t>名词解释</w:t>
      </w:r>
    </w:p>
    <w:p w:rsidR="00A86EF3" w:rsidRDefault="00A86EF3">
      <w:pPr>
        <w:widowControl/>
        <w:spacing w:after="160" w:line="580" w:lineRule="exact"/>
        <w:ind w:firstLineChars="200" w:firstLine="640"/>
        <w:rPr>
          <w:rFonts w:ascii="Times New Roman" w:eastAsia="黑体" w:hAnsi="Times New Roman" w:cs="Times New Roman"/>
          <w:sz w:val="32"/>
          <w:szCs w:val="32"/>
        </w:rPr>
        <w:sectPr w:rsidR="00A86EF3">
          <w:headerReference w:type="default" r:id="rId24"/>
          <w:footerReference w:type="default" r:id="rId25"/>
          <w:headerReference w:type="first" r:id="rId26"/>
          <w:footerReference w:type="first" r:id="rId27"/>
          <w:pgSz w:w="11906" w:h="16838"/>
          <w:pgMar w:top="1474" w:right="1531" w:bottom="1474" w:left="1531" w:header="851" w:footer="992" w:gutter="0"/>
          <w:cols w:space="0"/>
          <w:titlePg/>
          <w:docGrid w:type="lines" w:linePitch="312"/>
        </w:sectPr>
      </w:pPr>
    </w:p>
    <w:p w:rsidR="00A86EF3" w:rsidRDefault="00A86EF3">
      <w:pPr>
        <w:widowControl/>
        <w:jc w:val="center"/>
        <w:rPr>
          <w:rFonts w:ascii="黑体" w:eastAsia="黑体" w:hAnsi="黑体" w:cs="黑体"/>
          <w:color w:val="000000" w:themeColor="text1"/>
          <w:sz w:val="48"/>
          <w:szCs w:val="48"/>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8"/>
          <w:szCs w:val="48"/>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8"/>
          <w:szCs w:val="48"/>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8"/>
          <w:szCs w:val="48"/>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8"/>
          <w:szCs w:val="48"/>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8"/>
          <w:szCs w:val="48"/>
          <w14:shadow w14:blurRad="38100" w14:dist="22860" w14:dir="5400000" w14:sx="100000" w14:sy="100000" w14:kx="0" w14:ky="0" w14:algn="tl">
            <w14:srgbClr w14:val="000000">
              <w14:alpha w14:val="70000"/>
            </w14:srgbClr>
          </w14:shadow>
          <w14:props3d w14:extrusionH="0" w14:contourW="0" w14:prstMaterial="clear"/>
        </w:rPr>
      </w:pPr>
    </w:p>
    <w:p w:rsidR="00A86EF3" w:rsidRDefault="001D2032">
      <w:pPr>
        <w:widowControl/>
        <w:jc w:val="center"/>
        <w:rPr>
          <w:rFonts w:ascii="黑体" w:eastAsia="黑体" w:hAnsi="黑体" w:cs="黑体"/>
          <w:color w:val="000000" w:themeColor="text1"/>
          <w:sz w:val="48"/>
          <w:szCs w:val="48"/>
          <w14:shadow w14:blurRad="38100" w14:dist="22860" w14:dir="5400000" w14:sx="100000" w14:sy="100000" w14:kx="0" w14:ky="0" w14:algn="tl">
            <w14:srgbClr w14:val="000000">
              <w14:alpha w14:val="70000"/>
            </w14:srgbClr>
          </w14:shadow>
          <w14:props3d w14:extrusionH="0" w14:contourW="0" w14:prstMaterial="clear"/>
        </w:rPr>
      </w:pPr>
      <w:r>
        <w:rPr>
          <w:noProof/>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28">
                      <a:extLst>
                        <a:ext uri="{96DAC541-7B7A-43D3-8B79-37D633B846F1}">
                          <asvg:svgBlip xmlns:asvg="http://schemas.microsoft.com/office/drawing/2016/SVG/main" xmlns:wpsCustomData="http://www.wps.cn/officeDocument/2013/wpsCustomData" xmlns:w15="http://schemas.microsoft.com/office/word/2012/wordml" xmlns:w10="urn:schemas-microsoft-com:office:word" xmlns:w="http://schemas.openxmlformats.org/wordprocessingml/2006/main" xmlns:v="urn:schemas-microsoft-com:vml" xmlns:o="urn:schemas-microsoft-com:office:office" xmlns="" r:embed="rId29"/>
                        </a:ext>
                      </a:extLst>
                    </a:blip>
                    <a:stretch>
                      <a:fillRect/>
                    </a:stretch>
                  </pic:blipFill>
                  <pic:spPr>
                    <a:xfrm>
                      <a:off x="0" y="0"/>
                      <a:ext cx="739775" cy="739775"/>
                    </a:xfrm>
                    <a:prstGeom prst="rect">
                      <a:avLst/>
                    </a:prstGeom>
                  </pic:spPr>
                </pic:pic>
              </a:graphicData>
            </a:graphic>
          </wp:anchor>
        </w:drawing>
      </w:r>
    </w:p>
    <w:p w:rsidR="00A86EF3" w:rsidRDefault="001D2032">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 xml:space="preserve"> </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第一部分</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 xml:space="preserve">  </w:t>
      </w:r>
      <w:r w:rsidR="00C73FD3">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单位</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概况</w:t>
      </w:r>
    </w:p>
    <w:p w:rsidR="00A86EF3" w:rsidRDefault="00A86EF3">
      <w:pPr>
        <w:widowControl/>
        <w:spacing w:line="580" w:lineRule="exact"/>
        <w:ind w:firstLineChars="200" w:firstLine="640"/>
        <w:rPr>
          <w:rFonts w:eastAsia="黑体"/>
          <w:sz w:val="32"/>
          <w:szCs w:val="32"/>
        </w:rPr>
      </w:pPr>
    </w:p>
    <w:p w:rsidR="00A86EF3" w:rsidRDefault="001D2032">
      <w:pPr>
        <w:rPr>
          <w:rFonts w:ascii="黑体" w:eastAsia="黑体" w:cs="黑体"/>
          <w:kern w:val="0"/>
          <w:sz w:val="32"/>
          <w:szCs w:val="32"/>
        </w:rPr>
      </w:pPr>
      <w:r>
        <w:rPr>
          <w:rFonts w:ascii="黑体" w:eastAsia="黑体" w:cs="黑体" w:hint="eastAsia"/>
          <w:kern w:val="0"/>
          <w:sz w:val="32"/>
          <w:szCs w:val="32"/>
        </w:rPr>
        <w:br w:type="page"/>
      </w:r>
    </w:p>
    <w:p w:rsidR="00A86EF3" w:rsidRDefault="001D2032">
      <w:pPr>
        <w:pStyle w:val="1"/>
        <w:spacing w:before="0" w:after="0" w:line="580" w:lineRule="exact"/>
        <w:ind w:firstLineChars="200" w:firstLine="640"/>
        <w:jc w:val="left"/>
        <w:rPr>
          <w:rFonts w:ascii="黑体" w:eastAsia="黑体" w:cs="黑体"/>
          <w:b w:val="0"/>
          <w:bCs w:val="0"/>
          <w:kern w:val="0"/>
          <w:sz w:val="32"/>
          <w:szCs w:val="32"/>
        </w:rPr>
      </w:pPr>
      <w:r>
        <w:rPr>
          <w:rFonts w:ascii="黑体" w:eastAsia="黑体" w:cs="黑体" w:hint="eastAsia"/>
          <w:b w:val="0"/>
          <w:bCs w:val="0"/>
          <w:kern w:val="0"/>
          <w:sz w:val="32"/>
          <w:szCs w:val="32"/>
        </w:rPr>
        <w:lastRenderedPageBreak/>
        <w:t>一、</w:t>
      </w:r>
      <w:r w:rsidR="00C73FD3">
        <w:rPr>
          <w:rFonts w:ascii="黑体" w:eastAsia="黑体" w:cs="黑体" w:hint="eastAsia"/>
          <w:b w:val="0"/>
          <w:bCs w:val="0"/>
          <w:kern w:val="0"/>
          <w:sz w:val="32"/>
          <w:szCs w:val="32"/>
        </w:rPr>
        <w:t>单位</w:t>
      </w:r>
      <w:r>
        <w:rPr>
          <w:rFonts w:ascii="黑体" w:eastAsia="黑体" w:cs="黑体" w:hint="eastAsia"/>
          <w:b w:val="0"/>
          <w:bCs w:val="0"/>
          <w:kern w:val="0"/>
          <w:sz w:val="32"/>
          <w:szCs w:val="32"/>
        </w:rPr>
        <w:t>职责</w:t>
      </w:r>
    </w:p>
    <w:p w:rsidR="00A86EF3" w:rsidRDefault="001D2032">
      <w:pPr>
        <w:widowControl/>
        <w:spacing w:line="580" w:lineRule="exact"/>
        <w:ind w:firstLineChars="200" w:firstLine="640"/>
        <w:rPr>
          <w:rFonts w:ascii="仿宋_GB2312" w:eastAsia="仿宋_GB2312" w:hAnsi="Calibri" w:cs="ArialUnicodeMS"/>
          <w:kern w:val="0"/>
          <w:sz w:val="32"/>
          <w:szCs w:val="32"/>
        </w:rPr>
      </w:pPr>
      <w:r>
        <w:rPr>
          <w:rFonts w:ascii="仿宋_GB2312" w:eastAsia="仿宋_GB2312" w:cs="ArialUnicodeMS" w:hint="eastAsia"/>
          <w:kern w:val="0"/>
          <w:sz w:val="32"/>
          <w:szCs w:val="32"/>
        </w:rPr>
        <w:t>实施初中学历教育，促进基础教育发展，初中学历教育及相关社会服务</w:t>
      </w:r>
    </w:p>
    <w:p w:rsidR="00A86EF3" w:rsidRDefault="001D2032">
      <w:pPr>
        <w:keepNext/>
        <w:keepLines/>
        <w:spacing w:line="580" w:lineRule="exact"/>
        <w:ind w:firstLineChars="200" w:firstLine="640"/>
        <w:jc w:val="left"/>
        <w:outlineLvl w:val="0"/>
        <w:rPr>
          <w:rFonts w:ascii="黑体" w:eastAsia="黑体" w:hAnsi="Calibri" w:cs="黑体"/>
          <w:kern w:val="0"/>
          <w:sz w:val="32"/>
          <w:szCs w:val="32"/>
        </w:rPr>
      </w:pPr>
      <w:r>
        <w:rPr>
          <w:rFonts w:ascii="黑体" w:eastAsia="黑体" w:hAnsi="Calibri" w:cs="黑体" w:hint="eastAsia"/>
          <w:kern w:val="0"/>
          <w:sz w:val="32"/>
          <w:szCs w:val="32"/>
        </w:rPr>
        <w:t>二、机构设置</w:t>
      </w:r>
    </w:p>
    <w:p w:rsidR="00A86EF3" w:rsidRDefault="001D2032">
      <w:pPr>
        <w:spacing w:line="580" w:lineRule="exact"/>
        <w:ind w:firstLineChars="200" w:firstLine="640"/>
        <w:rPr>
          <w:rFonts w:ascii="仿宋_GB2312" w:eastAsia="仿宋_GB2312" w:hAnsi="Calibri" w:cs="ArialUnicodeMS"/>
          <w:kern w:val="0"/>
          <w:sz w:val="32"/>
          <w:szCs w:val="32"/>
        </w:rPr>
      </w:pPr>
      <w:r>
        <w:rPr>
          <w:rFonts w:ascii="仿宋_GB2312" w:eastAsia="仿宋_GB2312" w:hAnsi="Calibri" w:cs="ArialUnicodeMS" w:hint="eastAsia"/>
          <w:kern w:val="0"/>
          <w:sz w:val="32"/>
          <w:szCs w:val="32"/>
        </w:rPr>
        <w:t>从决算编报单位构成看，纳入</w:t>
      </w:r>
      <w:r>
        <w:rPr>
          <w:rFonts w:ascii="仿宋_GB2312" w:eastAsia="仿宋_GB2312" w:hAnsi="Calibri" w:cs="ArialUnicodeMS" w:hint="eastAsia"/>
          <w:kern w:val="0"/>
          <w:sz w:val="32"/>
          <w:szCs w:val="32"/>
        </w:rPr>
        <w:t>2021</w:t>
      </w:r>
      <w:r>
        <w:rPr>
          <w:rFonts w:ascii="仿宋_GB2312" w:eastAsia="仿宋_GB2312" w:hAnsi="Calibri" w:cs="ArialUnicodeMS" w:hint="eastAsia"/>
          <w:kern w:val="0"/>
          <w:sz w:val="32"/>
          <w:szCs w:val="32"/>
        </w:rPr>
        <w:t>年度本部门决算汇编范围的独立核算单位（以下简称“单位”）共</w:t>
      </w:r>
      <w:r>
        <w:rPr>
          <w:rFonts w:ascii="仿宋_GB2312" w:eastAsia="仿宋_GB2312" w:hAnsi="Calibri" w:cs="ArialUnicodeMS" w:hint="eastAsia"/>
          <w:kern w:val="0"/>
          <w:sz w:val="32"/>
          <w:szCs w:val="32"/>
        </w:rPr>
        <w:t>1</w:t>
      </w:r>
      <w:r>
        <w:rPr>
          <w:rFonts w:ascii="仿宋_GB2312" w:eastAsia="仿宋_GB2312" w:hAnsi="Calibri" w:cs="ArialUnicodeMS" w:hint="eastAsia"/>
          <w:kern w:val="0"/>
          <w:sz w:val="32"/>
          <w:szCs w:val="32"/>
        </w:rPr>
        <w:t>个，具体情况如下：</w:t>
      </w:r>
    </w:p>
    <w:tbl>
      <w:tblPr>
        <w:tblStyle w:val="a7"/>
        <w:tblpPr w:leftFromText="180" w:rightFromText="180" w:vertAnchor="text" w:horzAnchor="margin" w:tblpY="1225"/>
        <w:tblOverlap w:val="never"/>
        <w:tblW w:w="95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3376"/>
        <w:gridCol w:w="2554"/>
        <w:gridCol w:w="2665"/>
      </w:tblGrid>
      <w:tr w:rsidR="00A86EF3">
        <w:trPr>
          <w:trHeight w:val="811"/>
        </w:trPr>
        <w:tc>
          <w:tcPr>
            <w:tcW w:w="985" w:type="dxa"/>
            <w:vAlign w:val="center"/>
          </w:tcPr>
          <w:p w:rsidR="00A86EF3" w:rsidRDefault="001D2032">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序号</w:t>
            </w:r>
          </w:p>
        </w:tc>
        <w:tc>
          <w:tcPr>
            <w:tcW w:w="3376" w:type="dxa"/>
            <w:vAlign w:val="center"/>
          </w:tcPr>
          <w:p w:rsidR="00A86EF3" w:rsidRDefault="001D2032">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单位名称</w:t>
            </w:r>
          </w:p>
        </w:tc>
        <w:tc>
          <w:tcPr>
            <w:tcW w:w="2554" w:type="dxa"/>
            <w:vAlign w:val="center"/>
          </w:tcPr>
          <w:p w:rsidR="00A86EF3" w:rsidRDefault="001D2032">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单位基本性质</w:t>
            </w:r>
          </w:p>
        </w:tc>
        <w:tc>
          <w:tcPr>
            <w:tcW w:w="2665" w:type="dxa"/>
            <w:vAlign w:val="center"/>
          </w:tcPr>
          <w:p w:rsidR="00A86EF3" w:rsidRDefault="001D2032">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经费形式</w:t>
            </w:r>
          </w:p>
        </w:tc>
      </w:tr>
      <w:tr w:rsidR="00A86EF3">
        <w:trPr>
          <w:trHeight w:val="596"/>
        </w:trPr>
        <w:tc>
          <w:tcPr>
            <w:tcW w:w="985" w:type="dxa"/>
          </w:tcPr>
          <w:p w:rsidR="00A86EF3" w:rsidRDefault="001D2032">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1</w:t>
            </w:r>
          </w:p>
        </w:tc>
        <w:tc>
          <w:tcPr>
            <w:tcW w:w="3376" w:type="dxa"/>
          </w:tcPr>
          <w:p w:rsidR="00A86EF3" w:rsidRDefault="001D2032">
            <w:pPr>
              <w:spacing w:line="560" w:lineRule="exact"/>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石家庄市</w:t>
            </w:r>
            <w:proofErr w:type="gramStart"/>
            <w:r>
              <w:rPr>
                <w:rFonts w:ascii="仿宋_GB2312" w:eastAsia="仿宋_GB2312" w:hAnsi="Calibri" w:cs="ArialUnicodeMS" w:hint="eastAsia"/>
                <w:kern w:val="0"/>
                <w:sz w:val="28"/>
                <w:szCs w:val="28"/>
              </w:rPr>
              <w:t>藁</w:t>
            </w:r>
            <w:proofErr w:type="gramEnd"/>
            <w:r>
              <w:rPr>
                <w:rFonts w:ascii="仿宋_GB2312" w:eastAsia="仿宋_GB2312" w:hAnsi="Calibri" w:cs="ArialUnicodeMS" w:hint="eastAsia"/>
                <w:kern w:val="0"/>
                <w:sz w:val="28"/>
                <w:szCs w:val="28"/>
              </w:rPr>
              <w:t>城区第七中学</w:t>
            </w:r>
          </w:p>
        </w:tc>
        <w:tc>
          <w:tcPr>
            <w:tcW w:w="2554" w:type="dxa"/>
          </w:tcPr>
          <w:p w:rsidR="00A86EF3" w:rsidRDefault="001D2032">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kern w:val="0"/>
                <w:sz w:val="28"/>
                <w:szCs w:val="28"/>
              </w:rPr>
              <w:t>财政补助事业单位</w:t>
            </w:r>
          </w:p>
        </w:tc>
        <w:tc>
          <w:tcPr>
            <w:tcW w:w="2665" w:type="dxa"/>
          </w:tcPr>
          <w:p w:rsidR="00A86EF3" w:rsidRDefault="001D2032">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kern w:val="0"/>
                <w:sz w:val="28"/>
                <w:szCs w:val="28"/>
              </w:rPr>
              <w:t>财政</w:t>
            </w:r>
            <w:r>
              <w:rPr>
                <w:rFonts w:ascii="仿宋_GB2312" w:eastAsia="仿宋_GB2312" w:hAnsi="Calibri" w:cs="ArialUnicodeMS" w:hint="eastAsia"/>
                <w:kern w:val="0"/>
                <w:sz w:val="28"/>
                <w:szCs w:val="28"/>
              </w:rPr>
              <w:t>拨款</w:t>
            </w:r>
          </w:p>
        </w:tc>
      </w:tr>
    </w:tbl>
    <w:p w:rsidR="00A86EF3" w:rsidRDefault="00A86EF3">
      <w:pPr>
        <w:widowControl/>
        <w:spacing w:after="160" w:line="580" w:lineRule="exact"/>
        <w:ind w:firstLineChars="200" w:firstLine="640"/>
        <w:rPr>
          <w:rFonts w:ascii="Times New Roman" w:eastAsia="黑体" w:hAnsi="Times New Roman" w:cs="Times New Roman"/>
          <w:sz w:val="32"/>
          <w:szCs w:val="32"/>
        </w:rPr>
      </w:pPr>
    </w:p>
    <w:p w:rsidR="00A86EF3" w:rsidRDefault="00A86EF3">
      <w:pPr>
        <w:widowControl/>
        <w:spacing w:after="160" w:line="580" w:lineRule="exact"/>
        <w:ind w:firstLineChars="200" w:firstLine="88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spacing w:after="160" w:line="580" w:lineRule="exact"/>
        <w:ind w:firstLineChars="200" w:firstLine="88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spacing w:after="160" w:line="580" w:lineRule="exact"/>
        <w:ind w:firstLineChars="200" w:firstLine="88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spacing w:after="160" w:line="580" w:lineRule="exact"/>
        <w:ind w:firstLineChars="200" w:firstLine="88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spacing w:after="160" w:line="580" w:lineRule="exact"/>
        <w:ind w:firstLineChars="200" w:firstLine="88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spacing w:after="160" w:line="580" w:lineRule="exact"/>
        <w:ind w:firstLineChars="200" w:firstLine="88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spacing w:after="160" w:line="580" w:lineRule="exact"/>
        <w:ind w:firstLineChars="200" w:firstLine="88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1D2032">
      <w:pPr>
        <w:widowControl/>
        <w:spacing w:after="160" w:line="580" w:lineRule="exact"/>
        <w:ind w:firstLineChars="200" w:firstLine="64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r>
        <w:rPr>
          <w:rFonts w:ascii="Times New Roman" w:eastAsia="黑体" w:hAnsi="Times New Roman" w:cs="Times New Roman" w:hint="eastAsia"/>
          <w:noProof/>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30">
                      <a:extLst>
                        <a:ext uri="{96DAC541-7B7A-43D3-8B79-37D633B846F1}">
                          <asvg:svgBlip xmlns:asvg="http://schemas.microsoft.com/office/drawing/2016/SVG/main" xmlns:wpsCustomData="http://www.wps.cn/officeDocument/2013/wpsCustomData" xmlns:w15="http://schemas.microsoft.com/office/word/2012/wordml" xmlns:w10="urn:schemas-microsoft-com:office:word" xmlns:w="http://schemas.openxmlformats.org/wordprocessingml/2006/main" xmlns:v="urn:schemas-microsoft-com:vml" xmlns:o="urn:schemas-microsoft-com:office:office" xmlns="" r:embed="rId31"/>
                        </a:ext>
                      </a:extLst>
                    </a:blip>
                    <a:stretch>
                      <a:fillRect/>
                    </a:stretch>
                  </pic:blipFill>
                  <pic:spPr>
                    <a:xfrm>
                      <a:off x="0" y="0"/>
                      <a:ext cx="579120" cy="579120"/>
                    </a:xfrm>
                    <a:prstGeom prst="rect">
                      <a:avLst/>
                    </a:prstGeom>
                  </pic:spPr>
                </pic:pic>
              </a:graphicData>
            </a:graphic>
          </wp:anchor>
        </w:drawing>
      </w:r>
    </w:p>
    <w:p w:rsidR="00A86EF3" w:rsidRDefault="001D2032">
      <w:pPr>
        <w:widowControl/>
        <w:spacing w:after="160" w:line="580" w:lineRule="exact"/>
        <w:ind w:firstLineChars="200" w:firstLine="880"/>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sectPr w:rsidR="00A86EF3">
          <w:headerReference w:type="default" r:id="rId32"/>
          <w:pgSz w:w="11906" w:h="16838"/>
          <w:pgMar w:top="2041" w:right="1531" w:bottom="1774" w:left="1531" w:header="851" w:footer="992" w:gutter="0"/>
          <w:pgNumType w:fmt="numberInDash"/>
          <w:cols w:space="0"/>
          <w:titlePg/>
          <w:docGrid w:type="lines" w:linePitch="312"/>
        </w:sectPr>
      </w:pP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 xml:space="preserve">    </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第二部分</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 xml:space="preserve">  2021</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年度</w:t>
      </w:r>
      <w:r w:rsidR="00C73FD3">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单位</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决算表</w:t>
      </w:r>
    </w:p>
    <w:p w:rsidR="00A86EF3" w:rsidRDefault="001D2032">
      <w:pPr>
        <w:widowControl/>
        <w:jc w:val="left"/>
        <w:textAlignment w:val="center"/>
        <w:rPr>
          <w:rFonts w:ascii="Times New Roman" w:eastAsia="黑体" w:hAnsi="Times New Roman" w:cs="Times New Roman"/>
          <w:sz w:val="32"/>
          <w:szCs w:val="32"/>
        </w:rPr>
        <w:sectPr w:rsidR="00A86EF3">
          <w:pgSz w:w="11906" w:h="16838"/>
          <w:pgMar w:top="1134" w:right="1531" w:bottom="1208" w:left="1531" w:header="851" w:footer="992" w:gutter="0"/>
          <w:pgNumType w:fmt="numberInDash"/>
          <w:cols w:space="0"/>
          <w:titlePg/>
          <w:docGrid w:type="lines" w:linePitch="312"/>
        </w:sectPr>
      </w:pPr>
      <w:r>
        <w:rPr>
          <w:rFonts w:hint="eastAsia"/>
          <w:sz w:val="30"/>
          <w:szCs w:val="30"/>
        </w:rPr>
        <w:lastRenderedPageBreak/>
        <w:t>见附件</w:t>
      </w:r>
      <w:r>
        <w:rPr>
          <w:rFonts w:hint="eastAsia"/>
          <w:sz w:val="20"/>
          <w:szCs w:val="20"/>
        </w:rPr>
        <w:br w:type="page"/>
      </w:r>
      <w:r>
        <w:rPr>
          <w:noProof/>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86EF3" w:rsidRDefault="001D2032">
                            <w:pPr>
                              <w:widowControl/>
                              <w:rPr>
                                <w:rFonts w:ascii="黑体" w:eastAsia="黑体" w:hAnsi="黑体" w:cs="黑体"/>
                                <w:color w:val="000000" w:themeColor="text1"/>
                                <w:sz w:val="96"/>
                                <w:szCs w:val="96"/>
                                <w14:shadow w14:blurRad="38100" w14:dist="22860" w14:dir="5400000" w14:sx="100000" w14:sy="100000" w14:kx="0" w14:ky="0" w14:algn="tl">
                                  <w14:srgbClr w14:val="000000">
                                    <w14:alpha w14:val="70000"/>
                                  </w14:srgbClr>
                                </w14:shadow>
                                <w14:props3d w14:extrusionH="0" w14:contourW="0" w14:prstMaterial="clear"/>
                              </w:rPr>
                            </w:pPr>
                            <w:r>
                              <w:rPr>
                                <w:rFonts w:ascii="黑体" w:eastAsia="黑体" w:hAnsi="黑体" w:cs="黑体" w:hint="eastAsia"/>
                                <w:color w:val="000000" w:themeColor="text1"/>
                                <w:sz w:val="96"/>
                                <w:szCs w:val="96"/>
                                <w14:shadow w14:blurRad="38100" w14:dist="22860" w14:dir="5400000" w14:sx="100000" w14:sy="100000" w14:kx="0" w14:ky="0" w14:algn="tl">
                                  <w14:srgbClr w14:val="000000">
                                    <w14:alpha w14:val="70000"/>
                                  </w14:srgbClr>
                                </w14:shadow>
                                <w14:props3d w14:extrusionH="0" w14:contourW="0" w14:prstMaterial="clear"/>
                              </w:rPr>
                              <w:t xml:space="preserve"> </w:t>
                            </w:r>
                          </w:p>
                          <w:p w:rsidR="00A86EF3" w:rsidRDefault="00A86EF3">
                            <w:pPr>
                              <w:widowControl/>
                              <w:jc w:val="center"/>
                              <w:rPr>
                                <w:rFonts w:ascii="黑体" w:eastAsia="黑体" w:hAnsi="黑体" w:cs="黑体"/>
                                <w:color w:val="000000" w:themeColor="text1"/>
                                <w:sz w:val="96"/>
                                <w:szCs w:val="96"/>
                                <w14:shadow w14:blurRad="38100" w14:dist="22860" w14:dir="5400000" w14:sx="100000" w14:sy="100000" w14:kx="0" w14:ky="0" w14:algn="tl">
                                  <w14:srgbClr w14:val="000000">
                                    <w14:alpha w14:val="70000"/>
                                  </w14:srgbClr>
                                </w14:shadow>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rsidR="00A86EF3" w:rsidRDefault="00A86EF3">
      <w:pPr>
        <w:widowControl/>
        <w:spacing w:line="580" w:lineRule="exact"/>
        <w:ind w:firstLineChars="200" w:firstLine="640"/>
        <w:rPr>
          <w:rFonts w:eastAsia="黑体"/>
          <w:sz w:val="32"/>
          <w:szCs w:val="32"/>
        </w:rPr>
      </w:pPr>
    </w:p>
    <w:p w:rsidR="00A86EF3" w:rsidRDefault="001D2032">
      <w:pPr>
        <w:widowControl/>
        <w:jc w:val="center"/>
        <w:rPr>
          <w:rFonts w:eastAsia="黑体"/>
          <w:sz w:val="32"/>
          <w:szCs w:val="32"/>
        </w:rPr>
      </w:pPr>
      <w:r>
        <w:rPr>
          <w:rFonts w:eastAsia="黑体" w:hint="eastAsia"/>
          <w:sz w:val="32"/>
          <w:szCs w:val="32"/>
        </w:rPr>
        <w:t xml:space="preserve">      </w:t>
      </w:r>
    </w:p>
    <w:p w:rsidR="00A86EF3" w:rsidRDefault="00A86EF3">
      <w:pPr>
        <w:widowControl/>
        <w:jc w:val="center"/>
        <w:rPr>
          <w:rFonts w:eastAsia="黑体"/>
          <w:sz w:val="32"/>
          <w:szCs w:val="32"/>
        </w:rPr>
      </w:pPr>
    </w:p>
    <w:p w:rsidR="00A86EF3" w:rsidRDefault="00A86EF3">
      <w:pPr>
        <w:widowControl/>
        <w:jc w:val="center"/>
        <w:rPr>
          <w:rFonts w:eastAsia="黑体"/>
          <w:sz w:val="32"/>
          <w:szCs w:val="32"/>
        </w:rPr>
      </w:pPr>
    </w:p>
    <w:p w:rsidR="00A86EF3" w:rsidRDefault="00A86EF3">
      <w:pPr>
        <w:widowControl/>
        <w:jc w:val="center"/>
        <w:rPr>
          <w:rFonts w:eastAsia="黑体"/>
          <w:sz w:val="32"/>
          <w:szCs w:val="32"/>
        </w:rPr>
      </w:pPr>
    </w:p>
    <w:p w:rsidR="00A86EF3" w:rsidRDefault="00A86EF3">
      <w:pPr>
        <w:widowControl/>
        <w:jc w:val="center"/>
        <w:rPr>
          <w:rFonts w:eastAsia="黑体"/>
          <w:sz w:val="32"/>
          <w:szCs w:val="32"/>
        </w:rPr>
      </w:pPr>
    </w:p>
    <w:p w:rsidR="00A86EF3" w:rsidRDefault="00A86EF3">
      <w:pPr>
        <w:widowControl/>
        <w:jc w:val="center"/>
        <w:rPr>
          <w:rFonts w:eastAsia="黑体"/>
          <w:sz w:val="32"/>
          <w:szCs w:val="32"/>
        </w:rPr>
      </w:pPr>
    </w:p>
    <w:p w:rsidR="00A86EF3" w:rsidRDefault="00A86EF3">
      <w:pPr>
        <w:widowControl/>
        <w:jc w:val="center"/>
        <w:rPr>
          <w:rFonts w:eastAsia="黑体"/>
          <w:sz w:val="32"/>
          <w:szCs w:val="32"/>
        </w:rPr>
      </w:pPr>
    </w:p>
    <w:p w:rsidR="00A86EF3" w:rsidRDefault="001D2032">
      <w:pPr>
        <w:widowControl/>
        <w:jc w:val="center"/>
        <w:rPr>
          <w:rFonts w:eastAsia="黑体"/>
          <w:sz w:val="32"/>
          <w:szCs w:val="32"/>
        </w:rPr>
      </w:pPr>
      <w:r>
        <w:rPr>
          <w:rFonts w:eastAsia="黑体" w:hint="eastAsia"/>
          <w:noProof/>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33">
                      <a:extLst>
                        <a:ext uri="{96DAC541-7B7A-43D3-8B79-37D633B846F1}">
                          <asvg:svgBlip xmlns:asvg="http://schemas.microsoft.com/office/drawing/2016/SVG/main" xmlns:wpsCustomData="http://www.wps.cn/officeDocument/2013/wpsCustomData" xmlns:w15="http://schemas.microsoft.com/office/word/2012/wordml" xmlns:w10="urn:schemas-microsoft-com:office:word" xmlns:w="http://schemas.openxmlformats.org/wordprocessingml/2006/main" xmlns:v="urn:schemas-microsoft-com:vml" xmlns:o="urn:schemas-microsoft-com:office:office" xmlns="" r:embed="rId34"/>
                        </a:ext>
                      </a:extLst>
                    </a:blip>
                    <a:stretch>
                      <a:fillRect/>
                    </a:stretch>
                  </pic:blipFill>
                  <pic:spPr>
                    <a:xfrm>
                      <a:off x="0" y="0"/>
                      <a:ext cx="660400" cy="660400"/>
                    </a:xfrm>
                    <a:prstGeom prst="rect">
                      <a:avLst/>
                    </a:prstGeom>
                  </pic:spPr>
                </pic:pic>
              </a:graphicData>
            </a:graphic>
          </wp:anchor>
        </w:drawing>
      </w:r>
    </w:p>
    <w:p w:rsidR="00A86EF3" w:rsidRDefault="001D2032">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 xml:space="preserve">    </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第三部分</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 xml:space="preserve"> 2021</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年度部门决算情况说明</w:t>
      </w:r>
    </w:p>
    <w:p w:rsidR="00A86EF3" w:rsidRDefault="001D2032">
      <w:pPr>
        <w:rPr>
          <w:rFonts w:ascii="黑体" w:eastAsia="黑体" w:hAnsi="Calibri" w:cs="Times New Roman"/>
          <w:sz w:val="32"/>
          <w:szCs w:val="32"/>
        </w:rPr>
      </w:pP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br w:type="page"/>
      </w:r>
    </w:p>
    <w:p w:rsidR="00A86EF3" w:rsidRDefault="001D2032">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lastRenderedPageBreak/>
        <w:t>一、收入</w:t>
      </w:r>
      <w:r>
        <w:rPr>
          <w:rFonts w:ascii="黑体" w:eastAsia="黑体" w:hAnsi="Cambria" w:cs="黑体" w:hint="eastAsia"/>
          <w:kern w:val="0"/>
          <w:sz w:val="32"/>
          <w:szCs w:val="32"/>
        </w:rPr>
        <w:t>支出</w:t>
      </w:r>
      <w:r>
        <w:rPr>
          <w:rFonts w:ascii="黑体" w:eastAsia="黑体" w:hAnsi="Calibri" w:cs="Times New Roman" w:hint="eastAsia"/>
          <w:sz w:val="32"/>
          <w:szCs w:val="32"/>
        </w:rPr>
        <w:t>决算总体情况说明</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年度收、支总计（含结转和结余）</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万元。与</w:t>
      </w:r>
      <w:r>
        <w:rPr>
          <w:rFonts w:ascii="仿宋_GB2312" w:eastAsia="仿宋_GB2312" w:hAnsi="Times New Roman" w:cs="DengXian-Regular" w:hint="eastAsia"/>
          <w:sz w:val="32"/>
          <w:szCs w:val="32"/>
        </w:rPr>
        <w:t>2020</w:t>
      </w:r>
      <w:r>
        <w:rPr>
          <w:rFonts w:ascii="仿宋_GB2312" w:eastAsia="仿宋_GB2312" w:hAnsi="Times New Roman" w:cs="DengXian-Regular" w:hint="eastAsia"/>
          <w:sz w:val="32"/>
          <w:szCs w:val="32"/>
        </w:rPr>
        <w:t>年度决算相比，收支各增加</w:t>
      </w:r>
      <w:r>
        <w:rPr>
          <w:rFonts w:ascii="仿宋_GB2312" w:eastAsia="仿宋_GB2312" w:hAnsi="Times New Roman" w:cs="DengXian-Regular" w:hint="eastAsia"/>
          <w:sz w:val="32"/>
          <w:szCs w:val="32"/>
        </w:rPr>
        <w:t>95.45</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6.6%</w:t>
      </w:r>
      <w:r>
        <w:rPr>
          <w:rFonts w:ascii="仿宋_GB2312" w:eastAsia="仿宋_GB2312" w:hAnsi="Times New Roman" w:cs="DengXian-Regular" w:hint="eastAsia"/>
          <w:sz w:val="32"/>
          <w:szCs w:val="32"/>
        </w:rPr>
        <w:t>，主要原因是人员工资增加。</w:t>
      </w: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noProof/>
          <w:sz w:val="32"/>
          <w:szCs w:val="32"/>
        </w:rPr>
        <w:drawing>
          <wp:anchor distT="0" distB="0" distL="114300" distR="114300" simplePos="0" relativeHeight="251674624" behindDoc="0" locked="0" layoutInCell="1" allowOverlap="1">
            <wp:simplePos x="0" y="0"/>
            <wp:positionH relativeFrom="column">
              <wp:posOffset>407670</wp:posOffset>
            </wp:positionH>
            <wp:positionV relativeFrom="paragraph">
              <wp:posOffset>-2923540</wp:posOffset>
            </wp:positionV>
            <wp:extent cx="5486400" cy="3200400"/>
            <wp:effectExtent l="0" t="0" r="19050" b="19050"/>
            <wp:wrapNone/>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anchor>
        </w:drawing>
      </w:r>
    </w:p>
    <w:p w:rsidR="00A86EF3" w:rsidRDefault="001D2032">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二、收入决算情况说明</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本单位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年度收入合计</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万元，其中：财政拨款收入</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100%</w:t>
      </w:r>
      <w:r>
        <w:rPr>
          <w:rFonts w:ascii="仿宋_GB2312" w:eastAsia="仿宋_GB2312" w:hAnsi="Times New Roman" w:cs="DengXian-Regular" w:hint="eastAsia"/>
          <w:sz w:val="32"/>
          <w:szCs w:val="32"/>
        </w:rPr>
        <w:t>；事业收入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；经营收入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；其他收入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
    <w:p w:rsidR="00A86EF3" w:rsidRDefault="001D2032">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三、支出决算情况说明</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年度支出合计</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万元，其中：基本支出</w:t>
      </w:r>
      <w:r>
        <w:rPr>
          <w:rFonts w:ascii="仿宋_GB2312" w:eastAsia="仿宋_GB2312" w:hAnsi="Times New Roman" w:cs="DengXian-Regular" w:hint="eastAsia"/>
          <w:sz w:val="32"/>
          <w:szCs w:val="32"/>
        </w:rPr>
        <w:t>1410.63</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97.8%</w:t>
      </w:r>
      <w:r>
        <w:rPr>
          <w:rFonts w:ascii="仿宋_GB2312" w:eastAsia="仿宋_GB2312" w:hAnsi="Times New Roman" w:cs="DengXian-Regular" w:hint="eastAsia"/>
          <w:sz w:val="32"/>
          <w:szCs w:val="32"/>
        </w:rPr>
        <w:t>；项目支出</w:t>
      </w:r>
      <w:r>
        <w:rPr>
          <w:rFonts w:ascii="仿宋_GB2312" w:eastAsia="仿宋_GB2312" w:hAnsi="Times New Roman" w:cs="DengXian-Regular" w:hint="eastAsia"/>
          <w:sz w:val="32"/>
          <w:szCs w:val="32"/>
        </w:rPr>
        <w:t>31.52</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2.2%</w:t>
      </w:r>
      <w:r>
        <w:rPr>
          <w:rFonts w:ascii="仿宋_GB2312" w:eastAsia="仿宋_GB2312" w:hAnsi="Times New Roman" w:cs="DengXian-Regular" w:hint="eastAsia"/>
          <w:sz w:val="32"/>
          <w:szCs w:val="32"/>
        </w:rPr>
        <w:t>；经营支出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noProof/>
          <w:sz w:val="32"/>
          <w:szCs w:val="32"/>
          <w:highlight w:val="yellow"/>
        </w:rPr>
        <w:lastRenderedPageBreak/>
        <mc:AlternateContent>
          <mc:Choice Requires="wps">
            <w:drawing>
              <wp:anchor distT="0" distB="0" distL="114300" distR="114300" simplePos="0" relativeHeight="251677696" behindDoc="0" locked="0" layoutInCell="1" allowOverlap="1">
                <wp:simplePos x="0" y="0"/>
                <wp:positionH relativeFrom="column">
                  <wp:posOffset>1062355</wp:posOffset>
                </wp:positionH>
                <wp:positionV relativeFrom="paragraph">
                  <wp:posOffset>236855</wp:posOffset>
                </wp:positionV>
                <wp:extent cx="2374265" cy="1403985"/>
                <wp:effectExtent l="0" t="0" r="0" b="6350"/>
                <wp:wrapNone/>
                <wp:docPr id="1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ln>
                      </wps:spPr>
                      <wps:txbx>
                        <w:txbxContent>
                          <w:p w:rsidR="00A86EF3" w:rsidRDefault="001D2032">
                            <w:r>
                              <w:rPr>
                                <w:rFonts w:hint="eastAsia"/>
                              </w:rPr>
                              <w:t>项目支出</w:t>
                            </w:r>
                            <w:r>
                              <w:rPr>
                                <w:rFonts w:hint="eastAsia"/>
                              </w:rPr>
                              <w:t>31.25</w:t>
                            </w:r>
                            <w:r>
                              <w:rPr>
                                <w:rFonts w:hint="eastAsia"/>
                              </w:rPr>
                              <w:t>万元</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psCustomData="http://www.wps.cn/officeDocument/2013/wpsCustomData" xmlns:w15="http://schemas.microsoft.com/office/word/2012/wordml">
            <w:pict>
              <v:shape id="文本框 2" o:spid="_x0000_s1026" o:spt="202" type="#_x0000_t202" style="position:absolute;left:0pt;margin-left:83.65pt;margin-top:18.65pt;height:110.55pt;width:186.95pt;z-index:251677696;mso-width-relative:margin;mso-height-relative:margin;mso-width-percent:400;mso-height-percent:200;" filled="f" stroked="f" coordsize="21600,21600" o:gfxdata="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rQrkDYAAAACgEAAA8AAAAAAAAAAQAgAAAAIgAAAGRycy9kb3ducmV2LnhtbFBLAQIUABQAAAAI&#10;AIdO4kCcLuqtJgIAACsEAAAOAAAAAAAAAAEAIAAAACcBAABkcnMvZTJvRG9jLnhtbFBLBQYAAAAA&#10;BgAGAFkBAAC/BQAAAAA=&#10;">
                <v:fill on="f" focussize="0,0"/>
                <v:stroke on="f" miterlimit="8" joinstyle="miter"/>
                <v:imagedata o:title=""/>
                <o:lock v:ext="edit" aspectratio="f"/>
                <v:textbox style="mso-fit-shape-to-text:t;">
                  <w:txbxContent>
                    <w:p>
                      <w:r>
                        <w:rPr>
                          <w:rFonts w:hint="eastAsia"/>
                        </w:rPr>
                        <w:t>项目支出31.25万元</w:t>
                      </w:r>
                    </w:p>
                  </w:txbxContent>
                </v:textbox>
              </v:shape>
            </w:pict>
          </mc:Fallback>
        </mc:AlternateContent>
      </w: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noProof/>
          <w:sz w:val="32"/>
          <w:szCs w:val="32"/>
          <w:highlight w:val="yellow"/>
        </w:rPr>
        <mc:AlternateContent>
          <mc:Choice Requires="wps">
            <w:drawing>
              <wp:anchor distT="0" distB="0" distL="114300" distR="114300" simplePos="0" relativeHeight="251676672" behindDoc="0" locked="0" layoutInCell="1" allowOverlap="1">
                <wp:simplePos x="0" y="0"/>
                <wp:positionH relativeFrom="column">
                  <wp:posOffset>2414905</wp:posOffset>
                </wp:positionH>
                <wp:positionV relativeFrom="paragraph">
                  <wp:posOffset>189230</wp:posOffset>
                </wp:positionV>
                <wp:extent cx="1043305" cy="655320"/>
                <wp:effectExtent l="0" t="0" r="0" b="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655320"/>
                        </a:xfrm>
                        <a:prstGeom prst="rect">
                          <a:avLst/>
                        </a:prstGeom>
                        <a:noFill/>
                        <a:ln w="9525">
                          <a:noFill/>
                          <a:miter lim="800000"/>
                        </a:ln>
                      </wps:spPr>
                      <wps:txbx>
                        <w:txbxContent>
                          <w:p w:rsidR="00A86EF3" w:rsidRDefault="001D2032">
                            <w:r>
                              <w:rPr>
                                <w:rFonts w:hint="eastAsia"/>
                              </w:rPr>
                              <w:t>基本支出</w:t>
                            </w:r>
                            <w:r>
                              <w:rPr>
                                <w:rFonts w:hint="eastAsia"/>
                              </w:rPr>
                              <w:t>1410.63</w:t>
                            </w:r>
                            <w:r>
                              <w:rPr>
                                <w:rFonts w:hint="eastAsia"/>
                              </w:rPr>
                              <w:t>万元</w:t>
                            </w:r>
                          </w:p>
                        </w:txbxContent>
                      </wps:txbx>
                      <wps:bodyPr rot="0" vert="horz" wrap="square" lIns="91440" tIns="45720" rIns="91440" bIns="45720" anchor="t" anchorCtr="0">
                        <a:noAutofit/>
                      </wps:bodyPr>
                    </wps:wsp>
                  </a:graphicData>
                </a:graphic>
              </wp:anchor>
            </w:drawing>
          </mc:Choice>
          <mc:Fallback xmlns:wpsCustomData="http://www.wps.cn/officeDocument/2013/wpsCustomData" xmlns:w15="http://schemas.microsoft.com/office/word/2012/wordml">
            <w:pict>
              <v:shape id="文本框 2" o:spid="_x0000_s1026" o:spt="202" type="#_x0000_t202" style="position:absolute;left:0pt;margin-left:190.15pt;margin-top:14.9pt;height:51.6pt;width:82.15pt;z-index:251676672;mso-width-relative:page;mso-height-relative:page;" filled="f" stroked="f" coordsize="21600,21600" o:gfxdata="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R&#10;tfns1wAAAAoBAAAPAAAAAAAAAAEAIAAAACIAAABkcnMvZG93bnJldi54bWxQSwECFAAUAAAACACH&#10;TuJAn4+gMiUCAAArBAAADgAAAAAAAAABACAAAAAmAQAAZHJzL2Uyb0RvYy54bWxQSwUGAAAAAAYA&#10;BgBZAQAAvQUAAAAA&#10;">
                <v:fill on="f" focussize="0,0"/>
                <v:stroke on="f" miterlimit="8" joinstyle="miter"/>
                <v:imagedata o:title=""/>
                <o:lock v:ext="edit" aspectratio="f"/>
                <v:textbox>
                  <w:txbxContent>
                    <w:p>
                      <w:r>
                        <w:rPr>
                          <w:rFonts w:hint="eastAsia"/>
                        </w:rPr>
                        <w:t>基本支出1410.63万元</w:t>
                      </w:r>
                    </w:p>
                  </w:txbxContent>
                </v:textbox>
              </v:shape>
            </w:pict>
          </mc:Fallback>
        </mc:AlternateContent>
      </w: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noProof/>
          <w:sz w:val="32"/>
          <w:szCs w:val="32"/>
        </w:rPr>
        <w:drawing>
          <wp:anchor distT="0" distB="0" distL="114300" distR="114300" simplePos="0" relativeHeight="251675648" behindDoc="0" locked="0" layoutInCell="1" allowOverlap="1">
            <wp:simplePos x="0" y="0"/>
            <wp:positionH relativeFrom="column">
              <wp:posOffset>407670</wp:posOffset>
            </wp:positionH>
            <wp:positionV relativeFrom="paragraph">
              <wp:posOffset>-2922270</wp:posOffset>
            </wp:positionV>
            <wp:extent cx="5486400" cy="3200400"/>
            <wp:effectExtent l="0" t="0" r="19050" b="19050"/>
            <wp:wrapNone/>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anchor>
        </w:drawing>
      </w:r>
    </w:p>
    <w:p w:rsidR="00A86EF3" w:rsidRDefault="001D2032">
      <w:pPr>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四、</w:t>
      </w:r>
      <w:r>
        <w:rPr>
          <w:rFonts w:ascii="黑体" w:eastAsia="黑体" w:hAnsi="Cambria" w:cs="黑体" w:hint="eastAsia"/>
          <w:kern w:val="0"/>
          <w:sz w:val="32"/>
          <w:szCs w:val="32"/>
        </w:rPr>
        <w:t>财政</w:t>
      </w:r>
      <w:r>
        <w:rPr>
          <w:rFonts w:ascii="黑体" w:eastAsia="黑体" w:hAnsi="Calibri" w:cs="Times New Roman" w:hint="eastAsia"/>
          <w:sz w:val="32"/>
          <w:szCs w:val="32"/>
        </w:rPr>
        <w:t>拨款收入支出决算总体情况说明</w:t>
      </w:r>
    </w:p>
    <w:p w:rsidR="00A86EF3" w:rsidRDefault="001D2032">
      <w:pPr>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（一）财政拨款收支与</w:t>
      </w:r>
      <w:r>
        <w:rPr>
          <w:rFonts w:ascii="楷体_GB2312" w:eastAsia="楷体_GB2312" w:hAnsi="Times New Roman" w:cs="DengXian-Bold" w:hint="eastAsia"/>
          <w:b/>
          <w:bCs/>
          <w:sz w:val="32"/>
          <w:szCs w:val="32"/>
        </w:rPr>
        <w:t>2020</w:t>
      </w:r>
      <w:r>
        <w:rPr>
          <w:rFonts w:ascii="楷体_GB2312" w:eastAsia="楷体_GB2312" w:hAnsi="Times New Roman" w:cs="DengXian-Bold" w:hint="eastAsia"/>
          <w:b/>
          <w:bCs/>
          <w:sz w:val="32"/>
          <w:szCs w:val="32"/>
        </w:rPr>
        <w:t>年度决算对比情况</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年度财政拨款本年收入</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w:t>
      </w:r>
      <w:r>
        <w:rPr>
          <w:rFonts w:ascii="仿宋_GB2312" w:eastAsia="仿宋_GB2312" w:hAnsi="Times New Roman" w:cs="DengXian-Regular" w:hint="eastAsia"/>
          <w:sz w:val="32"/>
          <w:szCs w:val="32"/>
        </w:rPr>
        <w:t>,</w:t>
      </w:r>
      <w:r>
        <w:rPr>
          <w:rFonts w:ascii="仿宋_GB2312" w:eastAsia="仿宋_GB2312" w:hAnsi="Times New Roman" w:cs="DengXian-Regular" w:hint="eastAsia"/>
          <w:sz w:val="32"/>
          <w:szCs w:val="32"/>
        </w:rPr>
        <w:t>比</w:t>
      </w:r>
      <w:r>
        <w:rPr>
          <w:rFonts w:ascii="仿宋_GB2312" w:eastAsia="仿宋_GB2312" w:hAnsi="Times New Roman" w:cs="DengXian-Regular" w:hint="eastAsia"/>
          <w:sz w:val="32"/>
          <w:szCs w:val="32"/>
        </w:rPr>
        <w:t>2020</w:t>
      </w:r>
      <w:r>
        <w:rPr>
          <w:rFonts w:ascii="仿宋_GB2312" w:eastAsia="仿宋_GB2312" w:hAnsi="Times New Roman" w:cs="DengXian-Regular" w:hint="eastAsia"/>
          <w:sz w:val="32"/>
          <w:szCs w:val="32"/>
        </w:rPr>
        <w:t>年度增加</w:t>
      </w:r>
      <w:r>
        <w:rPr>
          <w:rFonts w:ascii="仿宋_GB2312" w:eastAsia="仿宋_GB2312" w:hAnsi="Times New Roman" w:cs="DengXian-Regular" w:hint="eastAsia"/>
          <w:sz w:val="32"/>
          <w:szCs w:val="32"/>
        </w:rPr>
        <w:t>95.45</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6.6%</w:t>
      </w:r>
      <w:r>
        <w:rPr>
          <w:rFonts w:ascii="仿宋_GB2312" w:eastAsia="仿宋_GB2312" w:hAnsi="Times New Roman" w:cs="DengXian-Regular" w:hint="eastAsia"/>
          <w:sz w:val="32"/>
          <w:szCs w:val="32"/>
        </w:rPr>
        <w:t>，人员工资增加；本年支出</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万元，增加</w:t>
      </w:r>
      <w:r>
        <w:rPr>
          <w:rFonts w:ascii="仿宋_GB2312" w:eastAsia="仿宋_GB2312" w:hAnsi="Times New Roman" w:cs="DengXian-Regular" w:hint="eastAsia"/>
          <w:sz w:val="32"/>
          <w:szCs w:val="32"/>
        </w:rPr>
        <w:t>95.45</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6.6%</w:t>
      </w:r>
      <w:r>
        <w:rPr>
          <w:rFonts w:ascii="仿宋_GB2312" w:eastAsia="仿宋_GB2312" w:hAnsi="Times New Roman" w:cs="DengXian-Regular" w:hint="eastAsia"/>
          <w:sz w:val="32"/>
          <w:szCs w:val="32"/>
        </w:rPr>
        <w:t>，主要是人员工资增加。具体情况如下：</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w:t>
      </w:r>
      <w:r>
        <w:rPr>
          <w:rFonts w:ascii="仿宋_GB2312" w:eastAsia="仿宋_GB2312" w:hAnsi="Times New Roman" w:cs="DengXian-Regular" w:hint="eastAsia"/>
          <w:sz w:val="32"/>
          <w:szCs w:val="32"/>
        </w:rPr>
        <w:t>一般公共预算财政拨款本年收入</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万元，比上年增加</w:t>
      </w:r>
      <w:r>
        <w:rPr>
          <w:rFonts w:ascii="仿宋_GB2312" w:eastAsia="仿宋_GB2312" w:hAnsi="Times New Roman" w:cs="DengXian-Regular" w:hint="eastAsia"/>
          <w:sz w:val="32"/>
          <w:szCs w:val="32"/>
        </w:rPr>
        <w:t>95.45</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6.6%</w:t>
      </w:r>
      <w:r>
        <w:rPr>
          <w:rFonts w:ascii="仿宋_GB2312" w:eastAsia="仿宋_GB2312" w:hAnsi="Times New Roman" w:cs="DengXian-Regular" w:hint="eastAsia"/>
          <w:sz w:val="32"/>
          <w:szCs w:val="32"/>
        </w:rPr>
        <w:t>，主要是人员工资增加；本年支出</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万元，增加</w:t>
      </w:r>
      <w:r>
        <w:rPr>
          <w:rFonts w:ascii="仿宋_GB2312" w:eastAsia="仿宋_GB2312" w:hAnsi="Times New Roman" w:cs="DengXian-Regular" w:hint="eastAsia"/>
          <w:sz w:val="32"/>
          <w:szCs w:val="32"/>
        </w:rPr>
        <w:t>95.45</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6.6%</w:t>
      </w:r>
      <w:r>
        <w:rPr>
          <w:rFonts w:ascii="仿宋_GB2312" w:eastAsia="仿宋_GB2312" w:hAnsi="Times New Roman" w:cs="DengXian-Regular" w:hint="eastAsia"/>
          <w:sz w:val="32"/>
          <w:szCs w:val="32"/>
        </w:rPr>
        <w:t>，主要是人员工资增加。</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w:t>
      </w:r>
      <w:r>
        <w:rPr>
          <w:rFonts w:ascii="仿宋_GB2312" w:eastAsia="仿宋_GB2312" w:hAnsi="Times New Roman" w:cs="DengXian-Regular" w:hint="eastAsia"/>
          <w:sz w:val="32"/>
          <w:szCs w:val="32"/>
        </w:rPr>
        <w:t>政府性基金预算财政拨款本年收入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万元，比上年增加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w:t>
      </w:r>
      <w:r>
        <w:rPr>
          <w:rFonts w:ascii="仿宋_GB2312" w:eastAsia="仿宋_GB2312" w:hAnsi="Times New Roman" w:cs="DengXian-Regular" w:hint="eastAsia"/>
          <w:sz w:val="32"/>
          <w:szCs w:val="32"/>
        </w:rPr>
        <w:t>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；本年支出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万元，比上年增加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lastRenderedPageBreak/>
        <w:t>3.</w:t>
      </w:r>
      <w:r>
        <w:rPr>
          <w:rFonts w:ascii="仿宋_GB2312" w:eastAsia="仿宋_GB2312" w:hAnsi="Times New Roman" w:cs="DengXian-Regular" w:hint="eastAsia"/>
          <w:sz w:val="32"/>
          <w:szCs w:val="32"/>
        </w:rPr>
        <w:t>国有资本经营预算财政拨款本年收入</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万元，比上年增加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；本年支出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万元，比上年增加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noProof/>
          <w:sz w:val="32"/>
          <w:szCs w:val="32"/>
        </w:rPr>
        <w:drawing>
          <wp:anchor distT="0" distB="0" distL="114300" distR="114300" simplePos="0" relativeHeight="251678720" behindDoc="0" locked="0" layoutInCell="1" allowOverlap="1">
            <wp:simplePos x="0" y="0"/>
            <wp:positionH relativeFrom="column">
              <wp:posOffset>407670</wp:posOffset>
            </wp:positionH>
            <wp:positionV relativeFrom="paragraph">
              <wp:posOffset>-2920365</wp:posOffset>
            </wp:positionV>
            <wp:extent cx="5486400" cy="3200400"/>
            <wp:effectExtent l="0" t="0" r="19050" b="19050"/>
            <wp:wrapNone/>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anchor>
        </w:drawing>
      </w:r>
    </w:p>
    <w:p w:rsidR="00A86EF3" w:rsidRDefault="001D2032">
      <w:pPr>
        <w:snapToGrid w:val="0"/>
        <w:spacing w:line="580" w:lineRule="exact"/>
        <w:ind w:firstLineChars="200" w:firstLine="643"/>
        <w:rPr>
          <w:rFonts w:ascii="仿宋_GB2312" w:eastAsia="仿宋_GB2312" w:hAnsi="Times New Roman" w:cs="DengXian-Bold"/>
          <w:b/>
          <w:bCs/>
          <w:sz w:val="32"/>
          <w:szCs w:val="32"/>
        </w:rPr>
      </w:pPr>
      <w:r>
        <w:rPr>
          <w:rFonts w:ascii="楷体_GB2312" w:eastAsia="楷体_GB2312" w:hAnsi="Times New Roman" w:cs="DengXian-Bold" w:hint="eastAsia"/>
          <w:b/>
          <w:bCs/>
          <w:sz w:val="32"/>
          <w:szCs w:val="32"/>
        </w:rPr>
        <w:t>（二）财政拨款收支与年初预算数对比情况</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年度财政拨款本年收入</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万元，完成年初预算的</w:t>
      </w:r>
      <w:r>
        <w:rPr>
          <w:rFonts w:ascii="仿宋_GB2312" w:eastAsia="仿宋_GB2312" w:hAnsi="Times New Roman" w:cs="DengXian-Regular" w:hint="eastAsia"/>
          <w:sz w:val="32"/>
          <w:szCs w:val="32"/>
        </w:rPr>
        <w:t>118.8%,</w:t>
      </w:r>
      <w:r>
        <w:rPr>
          <w:rFonts w:ascii="仿宋_GB2312" w:eastAsia="仿宋_GB2312" w:hAnsi="Times New Roman" w:cs="DengXian-Regular" w:hint="eastAsia"/>
          <w:sz w:val="32"/>
          <w:szCs w:val="32"/>
        </w:rPr>
        <w:t>比年初预算增加</w:t>
      </w:r>
      <w:r>
        <w:rPr>
          <w:rFonts w:ascii="仿宋_GB2312" w:eastAsia="仿宋_GB2312" w:hAnsi="Times New Roman" w:cs="DengXian-Regular" w:hint="eastAsia"/>
          <w:sz w:val="32"/>
          <w:szCs w:val="32"/>
        </w:rPr>
        <w:t>228.03</w:t>
      </w:r>
      <w:r>
        <w:rPr>
          <w:rFonts w:ascii="仿宋_GB2312" w:eastAsia="仿宋_GB2312" w:hAnsi="Times New Roman" w:cs="DengXian-Regular" w:hint="eastAsia"/>
          <w:sz w:val="32"/>
          <w:szCs w:val="32"/>
        </w:rPr>
        <w:t>万，算数大于预算</w:t>
      </w:r>
      <w:proofErr w:type="gramStart"/>
      <w:r>
        <w:rPr>
          <w:rFonts w:ascii="仿宋_GB2312" w:eastAsia="仿宋_GB2312" w:hAnsi="Times New Roman" w:cs="DengXian-Regular" w:hint="eastAsia"/>
          <w:sz w:val="32"/>
          <w:szCs w:val="32"/>
        </w:rPr>
        <w:t>数主要</w:t>
      </w:r>
      <w:proofErr w:type="gramEnd"/>
      <w:r>
        <w:rPr>
          <w:rFonts w:ascii="仿宋_GB2312" w:eastAsia="仿宋_GB2312" w:hAnsi="Times New Roman" w:cs="DengXian-Regular" w:hint="eastAsia"/>
          <w:sz w:val="32"/>
          <w:szCs w:val="32"/>
        </w:rPr>
        <w:t>原因是主要是人员工资增加；本年支出</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万元，完成年初预算的</w:t>
      </w:r>
      <w:r>
        <w:rPr>
          <w:rFonts w:ascii="仿宋_GB2312" w:eastAsia="仿宋_GB2312" w:hAnsi="Times New Roman" w:cs="DengXian-Regular" w:hint="eastAsia"/>
          <w:sz w:val="32"/>
          <w:szCs w:val="32"/>
        </w:rPr>
        <w:t>118.8%,</w:t>
      </w:r>
      <w:r>
        <w:rPr>
          <w:rFonts w:ascii="仿宋_GB2312" w:eastAsia="仿宋_GB2312" w:hAnsi="Times New Roman" w:cs="DengXian-Regular" w:hint="eastAsia"/>
          <w:sz w:val="32"/>
          <w:szCs w:val="32"/>
        </w:rPr>
        <w:t>比年初预算增加</w:t>
      </w:r>
      <w:r>
        <w:rPr>
          <w:rFonts w:ascii="仿宋_GB2312" w:eastAsia="仿宋_GB2312" w:hAnsi="Times New Roman" w:cs="DengXian-Regular" w:hint="eastAsia"/>
          <w:sz w:val="32"/>
          <w:szCs w:val="32"/>
        </w:rPr>
        <w:t>228.03</w:t>
      </w:r>
      <w:r>
        <w:rPr>
          <w:rFonts w:ascii="仿宋_GB2312" w:eastAsia="仿宋_GB2312" w:hAnsi="Times New Roman" w:cs="DengXian-Regular" w:hint="eastAsia"/>
          <w:sz w:val="32"/>
          <w:szCs w:val="32"/>
        </w:rPr>
        <w:t>万，决算数大于预算</w:t>
      </w:r>
      <w:proofErr w:type="gramStart"/>
      <w:r>
        <w:rPr>
          <w:rFonts w:ascii="仿宋_GB2312" w:eastAsia="仿宋_GB2312" w:hAnsi="Times New Roman" w:cs="DengXian-Regular" w:hint="eastAsia"/>
          <w:sz w:val="32"/>
          <w:szCs w:val="32"/>
        </w:rPr>
        <w:t>数主要</w:t>
      </w:r>
      <w:proofErr w:type="gramEnd"/>
      <w:r>
        <w:rPr>
          <w:rFonts w:ascii="仿宋_GB2312" w:eastAsia="仿宋_GB2312" w:hAnsi="Times New Roman" w:cs="DengXian-Regular" w:hint="eastAsia"/>
          <w:sz w:val="32"/>
          <w:szCs w:val="32"/>
        </w:rPr>
        <w:t>原因是主要是追加防疫资金。具体情况如下：</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w:t>
      </w:r>
      <w:r>
        <w:rPr>
          <w:rFonts w:ascii="仿宋_GB2312" w:eastAsia="仿宋_GB2312" w:hAnsi="Times New Roman" w:cs="DengXian-Regular" w:hint="eastAsia"/>
          <w:sz w:val="32"/>
          <w:szCs w:val="32"/>
        </w:rPr>
        <w:t>一般公共预算财政拨款本年收入完成年初预算</w:t>
      </w:r>
      <w:r>
        <w:rPr>
          <w:rFonts w:ascii="仿宋_GB2312" w:eastAsia="仿宋_GB2312" w:hAnsi="Times New Roman" w:cs="DengXian-Regular" w:hint="eastAsia"/>
          <w:sz w:val="32"/>
          <w:szCs w:val="32"/>
        </w:rPr>
        <w:t>118.8%,</w:t>
      </w:r>
      <w:r>
        <w:rPr>
          <w:rFonts w:ascii="仿宋_GB2312" w:eastAsia="仿宋_GB2312" w:hAnsi="Times New Roman" w:cs="DengXian-Regular" w:hint="eastAsia"/>
          <w:sz w:val="32"/>
          <w:szCs w:val="32"/>
        </w:rPr>
        <w:t>比年初预算增加</w:t>
      </w:r>
      <w:r>
        <w:rPr>
          <w:rFonts w:ascii="仿宋_GB2312" w:eastAsia="仿宋_GB2312" w:hAnsi="Times New Roman" w:cs="DengXian-Regular" w:hint="eastAsia"/>
          <w:sz w:val="32"/>
          <w:szCs w:val="32"/>
        </w:rPr>
        <w:t>228.03</w:t>
      </w:r>
      <w:r>
        <w:rPr>
          <w:rFonts w:ascii="仿宋_GB2312" w:eastAsia="仿宋_GB2312" w:hAnsi="Times New Roman" w:cs="DengXian-Regular" w:hint="eastAsia"/>
          <w:sz w:val="32"/>
          <w:szCs w:val="32"/>
        </w:rPr>
        <w:t>万，大于预算</w:t>
      </w:r>
      <w:proofErr w:type="gramStart"/>
      <w:r>
        <w:rPr>
          <w:rFonts w:ascii="仿宋_GB2312" w:eastAsia="仿宋_GB2312" w:hAnsi="Times New Roman" w:cs="DengXian-Regular" w:hint="eastAsia"/>
          <w:sz w:val="32"/>
          <w:szCs w:val="32"/>
        </w:rPr>
        <w:t>数主要</w:t>
      </w:r>
      <w:proofErr w:type="gramEnd"/>
      <w:r>
        <w:rPr>
          <w:rFonts w:ascii="仿宋_GB2312" w:eastAsia="仿宋_GB2312" w:hAnsi="Times New Roman" w:cs="DengXian-Regular" w:hint="eastAsia"/>
          <w:sz w:val="32"/>
          <w:szCs w:val="32"/>
        </w:rPr>
        <w:t>原因是主要是人员工</w:t>
      </w:r>
      <w:r>
        <w:rPr>
          <w:rFonts w:ascii="仿宋_GB2312" w:eastAsia="仿宋_GB2312" w:hAnsi="Times New Roman" w:cs="DengXian-Regular" w:hint="eastAsia"/>
          <w:sz w:val="32"/>
          <w:szCs w:val="32"/>
        </w:rPr>
        <w:lastRenderedPageBreak/>
        <w:t>资增加；支出完成年初预算</w:t>
      </w:r>
      <w:r>
        <w:rPr>
          <w:rFonts w:ascii="仿宋_GB2312" w:eastAsia="仿宋_GB2312" w:hAnsi="Times New Roman" w:cs="DengXian-Regular" w:hint="eastAsia"/>
          <w:sz w:val="32"/>
          <w:szCs w:val="32"/>
        </w:rPr>
        <w:t>118.8%,</w:t>
      </w:r>
      <w:r>
        <w:rPr>
          <w:rFonts w:ascii="仿宋_GB2312" w:eastAsia="仿宋_GB2312" w:hAnsi="Times New Roman" w:cs="DengXian-Regular" w:hint="eastAsia"/>
          <w:sz w:val="32"/>
          <w:szCs w:val="32"/>
        </w:rPr>
        <w:t>比年初预算增加</w:t>
      </w:r>
      <w:r>
        <w:rPr>
          <w:rFonts w:ascii="仿宋_GB2312" w:eastAsia="仿宋_GB2312" w:hAnsi="Times New Roman" w:cs="DengXian-Regular" w:hint="eastAsia"/>
          <w:sz w:val="32"/>
          <w:szCs w:val="32"/>
        </w:rPr>
        <w:t>228.03</w:t>
      </w:r>
      <w:r>
        <w:rPr>
          <w:rFonts w:ascii="仿宋_GB2312" w:eastAsia="仿宋_GB2312" w:hAnsi="Times New Roman" w:cs="DengXian-Regular" w:hint="eastAsia"/>
          <w:sz w:val="32"/>
          <w:szCs w:val="32"/>
        </w:rPr>
        <w:t>万，决算数大于预算</w:t>
      </w:r>
      <w:proofErr w:type="gramStart"/>
      <w:r>
        <w:rPr>
          <w:rFonts w:ascii="仿宋_GB2312" w:eastAsia="仿宋_GB2312" w:hAnsi="Times New Roman" w:cs="DengXian-Regular" w:hint="eastAsia"/>
          <w:sz w:val="32"/>
          <w:szCs w:val="32"/>
        </w:rPr>
        <w:t>数主要</w:t>
      </w:r>
      <w:proofErr w:type="gramEnd"/>
      <w:r>
        <w:rPr>
          <w:rFonts w:ascii="仿宋_GB2312" w:eastAsia="仿宋_GB2312" w:hAnsi="Times New Roman" w:cs="DengXian-Regular" w:hint="eastAsia"/>
          <w:sz w:val="32"/>
          <w:szCs w:val="32"/>
        </w:rPr>
        <w:t>原因是</w:t>
      </w:r>
      <w:r>
        <w:rPr>
          <w:rFonts w:ascii="仿宋_GB2312" w:eastAsia="仿宋_GB2312" w:hAnsi="Times New Roman" w:cs="DengXian-Regular" w:hint="eastAsia"/>
          <w:sz w:val="32"/>
          <w:szCs w:val="32"/>
        </w:rPr>
        <w:t>主要是人员工资增加。</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w:t>
      </w:r>
      <w:r>
        <w:rPr>
          <w:rFonts w:ascii="仿宋_GB2312" w:eastAsia="仿宋_GB2312" w:hAnsi="Times New Roman" w:cs="DengXian-Regular" w:hint="eastAsia"/>
          <w:sz w:val="32"/>
          <w:szCs w:val="32"/>
        </w:rPr>
        <w:t>政府性基金预算财政拨款本年收入完成年初预算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，比年初预算增加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万元；支出完成年初预算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，比年初预算增加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3.</w:t>
      </w:r>
      <w:r>
        <w:rPr>
          <w:rFonts w:ascii="仿宋_GB2312" w:eastAsia="仿宋_GB2312" w:hAnsi="Times New Roman" w:cs="DengXian-Regular" w:hint="eastAsia"/>
          <w:sz w:val="32"/>
          <w:szCs w:val="32"/>
        </w:rPr>
        <w:t>国有资本经营预算财政拨款本年收入完成年初预算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，比年初预算增加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万元；支出完成年初预算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，比年初预算增加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noProof/>
          <w:sz w:val="32"/>
          <w:szCs w:val="32"/>
        </w:rPr>
        <w:drawing>
          <wp:anchor distT="0" distB="0" distL="114300" distR="114300" simplePos="0" relativeHeight="251679744" behindDoc="1" locked="0" layoutInCell="1" allowOverlap="1">
            <wp:simplePos x="0" y="0"/>
            <wp:positionH relativeFrom="column">
              <wp:posOffset>286385</wp:posOffset>
            </wp:positionH>
            <wp:positionV relativeFrom="paragraph">
              <wp:posOffset>212090</wp:posOffset>
            </wp:positionV>
            <wp:extent cx="5486400" cy="3200400"/>
            <wp:effectExtent l="0" t="0" r="19050" b="19050"/>
            <wp:wrapNone/>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1D2032">
      <w:pPr>
        <w:numPr>
          <w:ilvl w:val="0"/>
          <w:numId w:val="1"/>
        </w:numPr>
        <w:adjustRightInd w:val="0"/>
        <w:snapToGrid w:val="0"/>
        <w:spacing w:line="580" w:lineRule="exact"/>
        <w:ind w:leftChars="200" w:left="42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财政拨款支出决算结构情况。</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 xml:space="preserve">2021 </w:t>
      </w:r>
      <w:r>
        <w:rPr>
          <w:rFonts w:ascii="仿宋_GB2312" w:eastAsia="仿宋_GB2312" w:hAnsi="Times New Roman" w:cs="DengXian-Regular" w:hint="eastAsia"/>
          <w:sz w:val="32"/>
          <w:szCs w:val="32"/>
        </w:rPr>
        <w:t>年度财政拨款支出</w:t>
      </w:r>
      <w:r>
        <w:rPr>
          <w:rFonts w:ascii="仿宋_GB2312" w:eastAsia="仿宋_GB2312" w:hAnsi="Times New Roman" w:cs="DengXian-Regular" w:hint="eastAsia"/>
          <w:sz w:val="32"/>
          <w:szCs w:val="32"/>
        </w:rPr>
        <w:t>1442.15</w:t>
      </w:r>
      <w:r>
        <w:rPr>
          <w:rFonts w:ascii="仿宋_GB2312" w:eastAsia="仿宋_GB2312" w:hAnsi="Times New Roman" w:cs="DengXian-Regular" w:hint="eastAsia"/>
          <w:sz w:val="32"/>
          <w:szCs w:val="32"/>
        </w:rPr>
        <w:t>万元，全部用于教育支出，占</w:t>
      </w:r>
      <w:r>
        <w:rPr>
          <w:rFonts w:ascii="仿宋_GB2312" w:eastAsia="仿宋_GB2312" w:hAnsi="Times New Roman" w:cs="DengXian-Regular" w:hint="eastAsia"/>
          <w:sz w:val="32"/>
          <w:szCs w:val="32"/>
        </w:rPr>
        <w:t>100%</w:t>
      </w:r>
      <w:r>
        <w:rPr>
          <w:rFonts w:ascii="仿宋_GB2312" w:eastAsia="仿宋_GB2312" w:hAnsi="Times New Roman" w:cs="DengXian-Regular" w:hint="eastAsia"/>
          <w:sz w:val="32"/>
          <w:szCs w:val="32"/>
        </w:rPr>
        <w:t>，</w:t>
      </w:r>
      <w:r>
        <w:rPr>
          <w:rFonts w:ascii="仿宋_GB2312" w:eastAsia="仿宋_GB2312" w:hAnsi="Times New Roman" w:cs="DengXian-Regular"/>
          <w:sz w:val="32"/>
          <w:szCs w:val="32"/>
        </w:rPr>
        <w:t xml:space="preserve"> </w:t>
      </w:r>
    </w:p>
    <w:p w:rsidR="00A86EF3" w:rsidRDefault="001D2032">
      <w:pPr>
        <w:adjustRightInd w:val="0"/>
        <w:snapToGrid w:val="0"/>
        <w:spacing w:line="580" w:lineRule="exact"/>
        <w:ind w:leftChars="200" w:left="42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lastRenderedPageBreak/>
        <w:t>（四）一般公共预算基本支出决算情况说明</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年度财政拨款基本支出</w:t>
      </w:r>
      <w:r>
        <w:rPr>
          <w:rFonts w:ascii="仿宋_GB2312" w:eastAsia="仿宋_GB2312" w:hAnsi="Times New Roman" w:cs="DengXian-Regular" w:hint="eastAsia"/>
          <w:sz w:val="32"/>
          <w:szCs w:val="32"/>
        </w:rPr>
        <w:t>1410.63</w:t>
      </w:r>
      <w:r>
        <w:rPr>
          <w:rFonts w:ascii="仿宋_GB2312" w:eastAsia="仿宋_GB2312" w:hAnsi="Times New Roman" w:cs="DengXian-Regular" w:hint="eastAsia"/>
          <w:sz w:val="32"/>
          <w:szCs w:val="32"/>
        </w:rPr>
        <w:t>万元，其中：</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人员经费</w:t>
      </w:r>
      <w:r>
        <w:rPr>
          <w:rFonts w:ascii="仿宋_GB2312" w:eastAsia="仿宋_GB2312" w:hAnsi="Times New Roman" w:cs="DengXian-Regular" w:hint="eastAsia"/>
          <w:sz w:val="32"/>
          <w:szCs w:val="32"/>
        </w:rPr>
        <w:t xml:space="preserve"> </w:t>
      </w:r>
      <w:r>
        <w:rPr>
          <w:rFonts w:ascii="仿宋_GB2312" w:eastAsia="仿宋_GB2312" w:hAnsi="Times New Roman" w:cs="DengXian-Regular" w:hint="eastAsia"/>
          <w:sz w:val="32"/>
          <w:szCs w:val="32"/>
        </w:rPr>
        <w:t>1098.95</w:t>
      </w:r>
      <w:r>
        <w:rPr>
          <w:rFonts w:ascii="仿宋_GB2312" w:eastAsia="仿宋_GB2312" w:hAnsi="Times New Roman" w:cs="DengXian-Regular" w:hint="eastAsia"/>
          <w:sz w:val="32"/>
          <w:szCs w:val="32"/>
        </w:rPr>
        <w:t>万元，主要包括基本工资、津贴补贴、奖金、绩效工资、机关事业单位基本养老保险缴费、职业年金缴费、职工基本医疗保险缴费、公务员医疗补助缴费、住房公积金、其他社会保障缴费、生活补助。</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公用经费</w:t>
      </w:r>
      <w:r>
        <w:rPr>
          <w:rFonts w:ascii="仿宋_GB2312" w:eastAsia="仿宋_GB2312" w:hAnsi="Times New Roman" w:cs="DengXian-Regular" w:hint="eastAsia"/>
          <w:sz w:val="32"/>
          <w:szCs w:val="32"/>
        </w:rPr>
        <w:t xml:space="preserve"> 274.03</w:t>
      </w:r>
      <w:r>
        <w:rPr>
          <w:rFonts w:ascii="仿宋_GB2312" w:eastAsia="仿宋_GB2312" w:hAnsi="Times New Roman" w:cs="DengXian-Regular" w:hint="eastAsia"/>
          <w:sz w:val="32"/>
          <w:szCs w:val="32"/>
        </w:rPr>
        <w:t>万元，主要包括办公费、印刷费、电费、邮电费、取暖费、差旅费、维修（护）费、租赁费、会议费、培训费、劳务费、工会经费、福利费、办公设备购置、专用设备购置。</w:t>
      </w: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noProof/>
          <w:sz w:val="32"/>
          <w:szCs w:val="32"/>
        </w:rPr>
        <w:drawing>
          <wp:anchor distT="0" distB="0" distL="114300" distR="114300" simplePos="0" relativeHeight="251680768" behindDoc="0" locked="0" layoutInCell="1" allowOverlap="1">
            <wp:simplePos x="0" y="0"/>
            <wp:positionH relativeFrom="column">
              <wp:posOffset>329565</wp:posOffset>
            </wp:positionH>
            <wp:positionV relativeFrom="paragraph">
              <wp:posOffset>248920</wp:posOffset>
            </wp:positionV>
            <wp:extent cx="5486400" cy="3200400"/>
            <wp:effectExtent l="0" t="0" r="19050" b="19050"/>
            <wp:wrapNone/>
            <wp:docPr id="16"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A86EF3">
      <w:pPr>
        <w:adjustRightInd w:val="0"/>
        <w:snapToGrid w:val="0"/>
        <w:spacing w:line="580" w:lineRule="exact"/>
        <w:ind w:firstLineChars="200" w:firstLine="640"/>
        <w:rPr>
          <w:rFonts w:ascii="仿宋_GB2312" w:eastAsia="仿宋_GB2312" w:hAnsi="Times New Roman" w:cs="DengXian-Regular"/>
          <w:sz w:val="32"/>
          <w:szCs w:val="32"/>
        </w:rPr>
      </w:pPr>
    </w:p>
    <w:p w:rsidR="00A86EF3" w:rsidRDefault="001D2032">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五、一般公共预算“三公”</w:t>
      </w:r>
      <w:r>
        <w:rPr>
          <w:rFonts w:ascii="黑体" w:eastAsia="黑体" w:hAnsi="Calibri" w:cs="Times New Roman" w:hint="eastAsia"/>
          <w:sz w:val="32"/>
          <w:szCs w:val="32"/>
        </w:rPr>
        <w:t xml:space="preserve"> </w:t>
      </w:r>
      <w:r>
        <w:rPr>
          <w:rFonts w:ascii="黑体" w:eastAsia="黑体" w:hAnsi="Calibri" w:cs="Times New Roman" w:hint="eastAsia"/>
          <w:sz w:val="32"/>
          <w:szCs w:val="32"/>
        </w:rPr>
        <w:t>经费支出决算情况说明</w:t>
      </w:r>
    </w:p>
    <w:p w:rsidR="00A86EF3" w:rsidRDefault="001D2032">
      <w:pPr>
        <w:adjustRightInd w:val="0"/>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（一）“三公”经费财政拨款支出决算总体情况说明</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年度“三公”经费财政拨款支出预算为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万元，支出决算为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万元，完成预算的</w:t>
      </w:r>
      <w:r>
        <w:rPr>
          <w:rFonts w:ascii="仿宋_GB2312" w:eastAsia="仿宋_GB2312" w:hAnsi="Times New Roman" w:cs="DengXian-Regular" w:hint="eastAsia"/>
          <w:sz w:val="32"/>
          <w:szCs w:val="32"/>
        </w:rPr>
        <w:t>0%,</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；较</w:t>
      </w:r>
      <w:r>
        <w:rPr>
          <w:rFonts w:ascii="仿宋_GB2312" w:eastAsia="仿宋_GB2312" w:hAnsi="Times New Roman" w:cs="DengXian-Regular" w:hint="eastAsia"/>
          <w:sz w:val="32"/>
          <w:szCs w:val="32"/>
        </w:rPr>
        <w:t>2020</w:t>
      </w:r>
      <w:r>
        <w:rPr>
          <w:rFonts w:ascii="仿宋_GB2312" w:eastAsia="仿宋_GB2312" w:hAnsi="Times New Roman" w:cs="DengXian-Regular" w:hint="eastAsia"/>
          <w:sz w:val="32"/>
          <w:szCs w:val="32"/>
        </w:rPr>
        <w:t>年度决算增加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
    <w:p w:rsidR="00A86EF3" w:rsidRDefault="001D2032">
      <w:pPr>
        <w:adjustRightInd w:val="0"/>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（二）“三公”经费财政拨款支出决算具体情况说明</w:t>
      </w:r>
    </w:p>
    <w:p w:rsidR="00A86EF3" w:rsidRDefault="001D2032">
      <w:pPr>
        <w:adjustRightInd w:val="0"/>
        <w:snapToGrid w:val="0"/>
        <w:spacing w:line="580" w:lineRule="exact"/>
        <w:ind w:firstLineChars="200" w:firstLine="643"/>
        <w:rPr>
          <w:rFonts w:ascii="仿宋_GB2312" w:eastAsia="仿宋_GB2312" w:hAnsi="Times New Roman" w:cs="DengXian-Regular"/>
          <w:sz w:val="32"/>
          <w:szCs w:val="32"/>
        </w:rPr>
      </w:pPr>
      <w:r>
        <w:rPr>
          <w:rFonts w:ascii="楷体_GB2312" w:eastAsia="楷体_GB2312" w:hAnsi="Times New Roman" w:cs="DengXian-Bold" w:hint="eastAsia"/>
          <w:b/>
          <w:bCs/>
          <w:sz w:val="32"/>
          <w:szCs w:val="32"/>
        </w:rPr>
        <w:t>1.</w:t>
      </w:r>
      <w:r>
        <w:rPr>
          <w:rFonts w:ascii="楷体_GB2312" w:eastAsia="楷体_GB2312" w:hAnsi="Times New Roman" w:cs="DengXian-Bold" w:hint="eastAsia"/>
          <w:b/>
          <w:bCs/>
          <w:sz w:val="32"/>
          <w:szCs w:val="32"/>
        </w:rPr>
        <w:t>因公出国（境）费支出情况。</w:t>
      </w:r>
      <w:r>
        <w:rPr>
          <w:rFonts w:ascii="仿宋_GB2312" w:eastAsia="仿宋_GB2312" w:hAnsi="Times New Roman" w:cs="DengXian-Regular" w:hint="eastAsia"/>
          <w:sz w:val="32"/>
          <w:szCs w:val="32"/>
        </w:rPr>
        <w:t>本</w:t>
      </w:r>
      <w:r w:rsidR="00C73FD3">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年度因公出国（境）费支出预算为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万元，支出决算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万元，完成预算的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。其中因公出国（境）团组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个、共</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人、参加其他单位组织的因公出国（境）团组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个、共</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人</w:t>
      </w:r>
      <w:r>
        <w:rPr>
          <w:rFonts w:ascii="仿宋_GB2312" w:eastAsia="仿宋_GB2312" w:hAnsi="Times New Roman" w:cs="DengXian-Regular" w:hint="eastAsia"/>
          <w:b/>
          <w:bCs/>
          <w:sz w:val="32"/>
          <w:szCs w:val="32"/>
        </w:rPr>
        <w:t>，</w:t>
      </w:r>
      <w:r>
        <w:rPr>
          <w:rFonts w:ascii="仿宋_GB2312" w:eastAsia="仿宋_GB2312" w:hAnsi="Times New Roman" w:cs="DengXian-Regular" w:hint="eastAsia"/>
          <w:sz w:val="32"/>
          <w:szCs w:val="32"/>
        </w:rPr>
        <w:t>本单位组织的出国（境）团组。因公出国（境）费支出</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；较上年增加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
    <w:p w:rsidR="00A86EF3" w:rsidRDefault="001D2032">
      <w:pPr>
        <w:adjustRightInd w:val="0"/>
        <w:snapToGrid w:val="0"/>
        <w:spacing w:line="580" w:lineRule="exact"/>
        <w:ind w:firstLineChars="200" w:firstLine="643"/>
        <w:rPr>
          <w:rFonts w:ascii="仿宋_GB2312" w:eastAsia="仿宋_GB2312" w:hAnsi="Times New Roman" w:cs="DengXian-Bold"/>
          <w:b/>
          <w:bCs/>
          <w:sz w:val="32"/>
          <w:szCs w:val="32"/>
        </w:rPr>
      </w:pPr>
      <w:r>
        <w:rPr>
          <w:rFonts w:ascii="楷体_GB2312" w:eastAsia="楷体_GB2312" w:hAnsi="Times New Roman" w:cs="DengXian-Bold" w:hint="eastAsia"/>
          <w:b/>
          <w:bCs/>
          <w:sz w:val="32"/>
          <w:szCs w:val="32"/>
        </w:rPr>
        <w:t>2.</w:t>
      </w:r>
      <w:r>
        <w:rPr>
          <w:rFonts w:ascii="楷体_GB2312" w:eastAsia="楷体_GB2312" w:hAnsi="Times New Roman" w:cs="DengXian-Bold" w:hint="eastAsia"/>
          <w:b/>
          <w:bCs/>
          <w:sz w:val="32"/>
          <w:szCs w:val="32"/>
        </w:rPr>
        <w:t>公务用车购置及运行维护费支出情况。</w:t>
      </w:r>
      <w:r>
        <w:rPr>
          <w:rFonts w:ascii="仿宋_GB2312" w:eastAsia="仿宋_GB2312" w:hAnsi="Times New Roman" w:cs="DengXian-Regular" w:hint="eastAsia"/>
          <w:sz w:val="32"/>
          <w:szCs w:val="32"/>
        </w:rPr>
        <w:t>本部门</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年度公务用车购置及运行维护费预算为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万元，支出决算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万元，完成预算的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减少</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；较上年减少</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原因是未发生此类支出。</w:t>
      </w:r>
      <w:r>
        <w:rPr>
          <w:rFonts w:ascii="仿宋_GB2312" w:eastAsia="仿宋_GB2312" w:hAnsi="Times New Roman" w:cs="DengXian-Bold" w:hint="eastAsia"/>
          <w:sz w:val="32"/>
          <w:szCs w:val="32"/>
        </w:rPr>
        <w:t>其中：</w:t>
      </w:r>
    </w:p>
    <w:p w:rsidR="00A86EF3" w:rsidRDefault="001D2032">
      <w:pPr>
        <w:adjustRightInd w:val="0"/>
        <w:snapToGrid w:val="0"/>
        <w:spacing w:line="580" w:lineRule="exact"/>
        <w:ind w:firstLineChars="200" w:firstLine="643"/>
        <w:rPr>
          <w:rFonts w:ascii="仿宋_GB2312" w:eastAsia="仿宋_GB2312" w:hAnsi="Times New Roman" w:cs="DengXian-Regular"/>
          <w:sz w:val="32"/>
          <w:szCs w:val="32"/>
        </w:rPr>
      </w:pPr>
      <w:r>
        <w:rPr>
          <w:rFonts w:ascii="仿宋_GB2312" w:eastAsia="仿宋_GB2312" w:hAnsi="Times New Roman" w:cs="DengXian-Regular" w:hint="eastAsia"/>
          <w:b/>
          <w:sz w:val="32"/>
          <w:szCs w:val="32"/>
        </w:rPr>
        <w:t>公务用车购置费支出</w:t>
      </w:r>
      <w:r>
        <w:rPr>
          <w:rFonts w:ascii="楷体_GB2312" w:eastAsia="楷体_GB2312" w:hAnsi="Times New Roman" w:cs="DengXian-Bold" w:hint="eastAsia"/>
          <w:b/>
          <w:bCs/>
          <w:sz w:val="32"/>
          <w:szCs w:val="32"/>
        </w:rPr>
        <w:t>0</w:t>
      </w:r>
      <w:r>
        <w:rPr>
          <w:rFonts w:ascii="楷体_GB2312" w:eastAsia="楷体_GB2312" w:hAnsi="Times New Roman" w:cs="DengXian-Bold" w:hint="eastAsia"/>
          <w:b/>
          <w:bCs/>
          <w:sz w:val="32"/>
          <w:szCs w:val="32"/>
        </w:rPr>
        <w:t>万元</w:t>
      </w:r>
      <w:r>
        <w:rPr>
          <w:rFonts w:ascii="仿宋_GB2312" w:eastAsia="仿宋_GB2312" w:hAnsi="Times New Roman" w:cs="DengXian-Regular" w:hint="eastAsia"/>
          <w:b/>
          <w:sz w:val="32"/>
          <w:szCs w:val="32"/>
        </w:rPr>
        <w:t>：</w:t>
      </w:r>
      <w:r>
        <w:rPr>
          <w:rFonts w:ascii="仿宋_GB2312" w:eastAsia="仿宋_GB2312" w:hAnsi="Times New Roman" w:cs="DengXian-Regular" w:hint="eastAsia"/>
          <w:sz w:val="32"/>
          <w:szCs w:val="32"/>
        </w:rPr>
        <w:t>本</w:t>
      </w:r>
      <w:r w:rsidR="00C73FD3">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年度公务用车购置量</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辆，发生“公务用车购置”经费支出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万元。公务用车购置费支出</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主要是未发生此类支出；</w:t>
      </w:r>
      <w:r>
        <w:rPr>
          <w:rFonts w:ascii="仿宋_GB2312" w:eastAsia="仿宋_GB2312" w:hAnsi="Times New Roman" w:cs="DengXian-Regular" w:hint="eastAsia"/>
          <w:sz w:val="32"/>
          <w:szCs w:val="32"/>
        </w:rPr>
        <w:lastRenderedPageBreak/>
        <w:t>较上年增加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主要是未发生此类支出。</w:t>
      </w:r>
    </w:p>
    <w:p w:rsidR="00A86EF3" w:rsidRDefault="001D2032">
      <w:pPr>
        <w:adjustRightInd w:val="0"/>
        <w:snapToGrid w:val="0"/>
        <w:spacing w:line="580" w:lineRule="exact"/>
        <w:ind w:firstLineChars="200" w:firstLine="643"/>
        <w:rPr>
          <w:rFonts w:ascii="仿宋_GB2312" w:eastAsia="仿宋_GB2312" w:hAnsi="Times New Roman" w:cs="DengXian-Regular"/>
          <w:sz w:val="32"/>
          <w:szCs w:val="32"/>
        </w:rPr>
      </w:pPr>
      <w:r>
        <w:rPr>
          <w:rFonts w:ascii="仿宋_GB2312" w:eastAsia="仿宋_GB2312" w:hAnsi="Times New Roman" w:cs="DengXian-Regular" w:hint="eastAsia"/>
          <w:b/>
          <w:sz w:val="32"/>
          <w:szCs w:val="32"/>
        </w:rPr>
        <w:t>公务用车运行维护费支出</w:t>
      </w:r>
      <w:r>
        <w:rPr>
          <w:rFonts w:ascii="仿宋_GB2312" w:eastAsia="仿宋_GB2312" w:hAnsi="Times New Roman" w:cs="DengXian-Regular" w:hint="eastAsia"/>
          <w:b/>
          <w:sz w:val="32"/>
          <w:szCs w:val="32"/>
        </w:rPr>
        <w:t>0</w:t>
      </w:r>
      <w:r>
        <w:rPr>
          <w:rFonts w:ascii="楷体_GB2312" w:eastAsia="楷体_GB2312" w:hAnsi="Times New Roman" w:cs="DengXian-Bold" w:hint="eastAsia"/>
          <w:b/>
          <w:bCs/>
          <w:sz w:val="32"/>
          <w:szCs w:val="32"/>
        </w:rPr>
        <w:t>万元</w:t>
      </w:r>
      <w:r>
        <w:rPr>
          <w:rFonts w:ascii="仿宋_GB2312" w:eastAsia="仿宋_GB2312" w:hAnsi="Times New Roman" w:cs="DengXian-Regular" w:hint="eastAsia"/>
          <w:b/>
          <w:sz w:val="32"/>
          <w:szCs w:val="32"/>
        </w:rPr>
        <w:t>：</w:t>
      </w:r>
      <w:r>
        <w:rPr>
          <w:rFonts w:ascii="仿宋_GB2312" w:eastAsia="仿宋_GB2312" w:hAnsi="Times New Roman" w:cs="DengXian-Regular" w:hint="eastAsia"/>
          <w:sz w:val="32"/>
          <w:szCs w:val="32"/>
        </w:rPr>
        <w:t>本</w:t>
      </w:r>
      <w:r w:rsidR="00C73FD3">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年度单位公务用车保有量</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辆。公车运行维护费</w:t>
      </w:r>
      <w:r>
        <w:rPr>
          <w:rFonts w:ascii="仿宋_GB2312" w:eastAsia="仿宋_GB2312" w:hAnsi="Times New Roman" w:cs="DengXian-Regular" w:hint="eastAsia"/>
          <w:sz w:val="32"/>
          <w:szCs w:val="32"/>
        </w:rPr>
        <w:t>支出</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；较上年增加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，主要是未发生此类支出。</w:t>
      </w:r>
    </w:p>
    <w:p w:rsidR="00A86EF3" w:rsidRDefault="001D2032">
      <w:pPr>
        <w:adjustRightInd w:val="0"/>
        <w:snapToGrid w:val="0"/>
        <w:spacing w:line="580" w:lineRule="exact"/>
        <w:ind w:firstLineChars="200" w:firstLine="643"/>
        <w:rPr>
          <w:rFonts w:ascii="仿宋_GB2312" w:eastAsia="仿宋_GB2312" w:hAnsi="Times New Roman" w:cs="DengXian-Regular"/>
          <w:sz w:val="32"/>
          <w:szCs w:val="32"/>
        </w:rPr>
      </w:pPr>
      <w:r>
        <w:rPr>
          <w:rFonts w:ascii="楷体_GB2312" w:eastAsia="楷体_GB2312" w:hAnsi="Times New Roman" w:cs="DengXian-Bold" w:hint="eastAsia"/>
          <w:b/>
          <w:bCs/>
          <w:sz w:val="32"/>
          <w:szCs w:val="32"/>
        </w:rPr>
        <w:t>3.</w:t>
      </w:r>
      <w:r>
        <w:rPr>
          <w:rFonts w:ascii="楷体_GB2312" w:eastAsia="楷体_GB2312" w:hAnsi="Times New Roman" w:cs="DengXian-Bold" w:hint="eastAsia"/>
          <w:b/>
          <w:bCs/>
          <w:sz w:val="32"/>
          <w:szCs w:val="32"/>
        </w:rPr>
        <w:t>公务接待费支出情况。</w:t>
      </w:r>
      <w:r>
        <w:rPr>
          <w:rFonts w:ascii="仿宋_GB2312" w:eastAsia="仿宋_GB2312" w:hAnsi="Times New Roman" w:cs="DengXian-Regular" w:hint="eastAsia"/>
          <w:sz w:val="32"/>
          <w:szCs w:val="32"/>
        </w:rPr>
        <w:t>本</w:t>
      </w:r>
      <w:r w:rsidR="00C73FD3">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年度公务接待费支出预算为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，支出决算</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万元，完成预算的</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。本年度共发生公务接待</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批次、</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人次。公务接待费支出</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主要是未发生此类支出；较上年度减少</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万元，降低</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主要是未发生此类支出。</w:t>
      </w:r>
    </w:p>
    <w:p w:rsidR="00A86EF3" w:rsidRDefault="001D2032">
      <w:pPr>
        <w:adjustRightInd w:val="0"/>
        <w:snapToGrid w:val="0"/>
        <w:spacing w:line="580" w:lineRule="exact"/>
        <w:ind w:firstLineChars="200" w:firstLine="640"/>
        <w:rPr>
          <w:rFonts w:ascii="黑体" w:eastAsia="黑体" w:hAnsi="Times New Roman" w:cs="Times New Roman"/>
          <w:sz w:val="32"/>
          <w:szCs w:val="40"/>
        </w:rPr>
      </w:pPr>
      <w:r>
        <w:rPr>
          <w:rFonts w:ascii="黑体" w:eastAsia="黑体" w:hAnsi="Times New Roman" w:cs="Times New Roman" w:hint="eastAsia"/>
          <w:sz w:val="32"/>
          <w:szCs w:val="40"/>
        </w:rPr>
        <w:t>六、预算绩效情况说明</w:t>
      </w:r>
    </w:p>
    <w:p w:rsidR="00A86EF3" w:rsidRDefault="001D2032">
      <w:pPr>
        <w:adjustRightInd w:val="0"/>
        <w:snapToGrid w:val="0"/>
        <w:spacing w:line="58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（一）预算绩效管理工作开展情况</w:t>
      </w:r>
    </w:p>
    <w:p w:rsidR="00A86EF3" w:rsidRDefault="001D2032">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w:t>
      </w:r>
      <w:r w:rsidR="00C73FD3">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组织对</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年度一般公共预算项目支出全面开展绩效自评，其中，</w:t>
      </w:r>
      <w:proofErr w:type="gramStart"/>
      <w:r>
        <w:rPr>
          <w:rFonts w:ascii="仿宋_GB2312" w:eastAsia="仿宋_GB2312" w:hAnsi="仿宋_GB2312" w:cs="仿宋_GB2312" w:hint="eastAsia"/>
          <w:sz w:val="32"/>
          <w:szCs w:val="32"/>
        </w:rPr>
        <w:t>一级项目</w:t>
      </w:r>
      <w:proofErr w:type="gramEnd"/>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个，二级项目</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个，共涉及资金</w:t>
      </w:r>
      <w:r>
        <w:rPr>
          <w:rFonts w:ascii="仿宋_GB2312" w:eastAsia="仿宋_GB2312" w:hAnsi="仿宋_GB2312" w:cs="仿宋_GB2312" w:hint="eastAsia"/>
          <w:sz w:val="32"/>
          <w:szCs w:val="32"/>
        </w:rPr>
        <w:t>31.25</w:t>
      </w:r>
      <w:r>
        <w:rPr>
          <w:rFonts w:ascii="仿宋_GB2312" w:eastAsia="仿宋_GB2312" w:hAnsi="仿宋_GB2312" w:cs="仿宋_GB2312" w:hint="eastAsia"/>
          <w:sz w:val="32"/>
          <w:szCs w:val="32"/>
        </w:rPr>
        <w:t>万元，占一般公共预算项目支出总额的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A86EF3" w:rsidRDefault="00C73FD3">
      <w:pPr>
        <w:adjustRightInd w:val="0"/>
        <w:snapToGrid w:val="0"/>
        <w:spacing w:line="58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组织对“</w:t>
      </w:r>
      <w:bookmarkStart w:id="0" w:name="_GoBack"/>
      <w:bookmarkEnd w:id="0"/>
      <w:r>
        <w:rPr>
          <w:rFonts w:ascii="仿宋_GB2312" w:eastAsia="仿宋_GB2312" w:hAnsi="仿宋_GB2312" w:cs="仿宋_GB2312" w:hint="eastAsia"/>
          <w:sz w:val="32"/>
          <w:szCs w:val="32"/>
        </w:rPr>
        <w:t>石家庄市</w:t>
      </w:r>
      <w:proofErr w:type="gramStart"/>
      <w:r>
        <w:rPr>
          <w:rFonts w:ascii="仿宋_GB2312" w:eastAsia="仿宋_GB2312" w:hAnsi="仿宋_GB2312" w:cs="仿宋_GB2312" w:hint="eastAsia"/>
          <w:sz w:val="32"/>
          <w:szCs w:val="32"/>
        </w:rPr>
        <w:t>藁</w:t>
      </w:r>
      <w:proofErr w:type="gramEnd"/>
      <w:r>
        <w:rPr>
          <w:rFonts w:ascii="仿宋_GB2312" w:eastAsia="仿宋_GB2312" w:hAnsi="仿宋_GB2312" w:cs="仿宋_GB2312" w:hint="eastAsia"/>
          <w:sz w:val="32"/>
          <w:szCs w:val="32"/>
        </w:rPr>
        <w:t>城区第七中学</w:t>
      </w:r>
      <w:r w:rsidR="001D2032">
        <w:rPr>
          <w:rFonts w:ascii="仿宋_GB2312" w:eastAsia="仿宋_GB2312" w:hAnsi="仿宋_GB2312" w:cs="仿宋_GB2312" w:hint="eastAsia"/>
          <w:sz w:val="32"/>
          <w:szCs w:val="32"/>
        </w:rPr>
        <w:t>厕所改造”项目开展了重点评价，涉及一般公共预算支出</w:t>
      </w:r>
      <w:r w:rsidR="001D2032">
        <w:rPr>
          <w:rFonts w:ascii="仿宋_GB2312" w:eastAsia="仿宋_GB2312" w:hAnsi="仿宋_GB2312" w:cs="仿宋_GB2312" w:hint="eastAsia"/>
          <w:sz w:val="32"/>
          <w:szCs w:val="32"/>
        </w:rPr>
        <w:t>31.25</w:t>
      </w:r>
      <w:r w:rsidR="001D2032">
        <w:rPr>
          <w:rFonts w:ascii="仿宋_GB2312" w:eastAsia="仿宋_GB2312" w:hAnsi="仿宋_GB2312" w:cs="仿宋_GB2312" w:hint="eastAsia"/>
          <w:sz w:val="32"/>
          <w:szCs w:val="32"/>
        </w:rPr>
        <w:t>万元，政府性基金预算支出</w:t>
      </w:r>
      <w:r w:rsidR="001D2032">
        <w:rPr>
          <w:rFonts w:ascii="仿宋_GB2312" w:eastAsia="仿宋_GB2312" w:hAnsi="仿宋_GB2312" w:cs="仿宋_GB2312" w:hint="eastAsia"/>
          <w:sz w:val="32"/>
          <w:szCs w:val="32"/>
        </w:rPr>
        <w:t>0</w:t>
      </w:r>
      <w:r w:rsidR="001D2032">
        <w:rPr>
          <w:rFonts w:ascii="仿宋_GB2312" w:eastAsia="仿宋_GB2312" w:hAnsi="仿宋_GB2312" w:cs="仿宋_GB2312" w:hint="eastAsia"/>
          <w:sz w:val="32"/>
          <w:szCs w:val="32"/>
        </w:rPr>
        <w:t>万元。其中，对“</w:t>
      </w:r>
      <w:r>
        <w:rPr>
          <w:rFonts w:ascii="仿宋_GB2312" w:eastAsia="仿宋_GB2312" w:hAnsi="仿宋_GB2312" w:cs="仿宋_GB2312" w:hint="eastAsia"/>
          <w:sz w:val="32"/>
          <w:szCs w:val="32"/>
        </w:rPr>
        <w:t>石家庄市</w:t>
      </w:r>
      <w:proofErr w:type="gramStart"/>
      <w:r>
        <w:rPr>
          <w:rFonts w:ascii="仿宋_GB2312" w:eastAsia="仿宋_GB2312" w:hAnsi="仿宋_GB2312" w:cs="仿宋_GB2312" w:hint="eastAsia"/>
          <w:sz w:val="32"/>
          <w:szCs w:val="32"/>
        </w:rPr>
        <w:t>藁</w:t>
      </w:r>
      <w:proofErr w:type="gramEnd"/>
      <w:r>
        <w:rPr>
          <w:rFonts w:ascii="仿宋_GB2312" w:eastAsia="仿宋_GB2312" w:hAnsi="仿宋_GB2312" w:cs="仿宋_GB2312" w:hint="eastAsia"/>
          <w:sz w:val="32"/>
          <w:szCs w:val="32"/>
        </w:rPr>
        <w:t>城区第七中学</w:t>
      </w:r>
      <w:r w:rsidR="001D2032">
        <w:rPr>
          <w:rFonts w:ascii="仿宋_GB2312" w:eastAsia="仿宋_GB2312" w:hAnsi="仿宋_GB2312" w:cs="仿宋_GB2312" w:hint="eastAsia"/>
          <w:sz w:val="32"/>
          <w:szCs w:val="32"/>
        </w:rPr>
        <w:t>厕所改造”项目开展绩效评价。从评价情况来看，</w:t>
      </w:r>
      <w:proofErr w:type="gramStart"/>
      <w:r w:rsidR="001D2032">
        <w:rPr>
          <w:rFonts w:ascii="仿宋_GB2312" w:eastAsia="仿宋_GB2312" w:hAnsi="仿宋_GB2312" w:cs="仿宋_GB2312" w:hint="eastAsia"/>
          <w:sz w:val="32"/>
          <w:szCs w:val="32"/>
        </w:rPr>
        <w:t>绩项目</w:t>
      </w:r>
      <w:proofErr w:type="gramEnd"/>
      <w:r w:rsidR="001D2032">
        <w:rPr>
          <w:rFonts w:ascii="仿宋_GB2312" w:eastAsia="仿宋_GB2312" w:hAnsi="仿宋_GB2312" w:cs="仿宋_GB2312" w:hint="eastAsia"/>
          <w:sz w:val="32"/>
          <w:szCs w:val="32"/>
        </w:rPr>
        <w:t>绩效完成情况良好。</w:t>
      </w:r>
    </w:p>
    <w:p w:rsidR="00A86EF3" w:rsidRDefault="001D2032">
      <w:pPr>
        <w:adjustRightInd w:val="0"/>
        <w:snapToGrid w:val="0"/>
        <w:spacing w:line="580" w:lineRule="exact"/>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w:t>
      </w:r>
      <w:r w:rsidR="00C73FD3">
        <w:rPr>
          <w:rFonts w:ascii="仿宋_GB2312" w:eastAsia="仿宋_GB2312" w:hAnsi="仿宋_GB2312" w:cs="仿宋_GB2312" w:hint="eastAsia"/>
          <w:b/>
          <w:bCs/>
          <w:sz w:val="32"/>
          <w:szCs w:val="32"/>
        </w:rPr>
        <w:t>单位</w:t>
      </w:r>
      <w:r>
        <w:rPr>
          <w:rFonts w:ascii="仿宋_GB2312" w:eastAsia="仿宋_GB2312" w:hAnsi="仿宋_GB2312" w:cs="仿宋_GB2312" w:hint="eastAsia"/>
          <w:b/>
          <w:bCs/>
          <w:sz w:val="32"/>
          <w:szCs w:val="32"/>
        </w:rPr>
        <w:t>决算</w:t>
      </w:r>
      <w:proofErr w:type="gramStart"/>
      <w:r>
        <w:rPr>
          <w:rFonts w:ascii="仿宋_GB2312" w:eastAsia="仿宋_GB2312" w:hAnsi="仿宋_GB2312" w:cs="仿宋_GB2312" w:hint="eastAsia"/>
          <w:b/>
          <w:bCs/>
          <w:sz w:val="32"/>
          <w:szCs w:val="32"/>
        </w:rPr>
        <w:t>中项目</w:t>
      </w:r>
      <w:proofErr w:type="gramEnd"/>
      <w:r>
        <w:rPr>
          <w:rFonts w:ascii="仿宋_GB2312" w:eastAsia="仿宋_GB2312" w:hAnsi="仿宋_GB2312" w:cs="仿宋_GB2312" w:hint="eastAsia"/>
          <w:b/>
          <w:bCs/>
          <w:sz w:val="32"/>
          <w:szCs w:val="32"/>
        </w:rPr>
        <w:t>绩效自评结果</w:t>
      </w:r>
    </w:p>
    <w:p w:rsidR="00A86EF3" w:rsidRDefault="001D2032">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w:t>
      </w:r>
      <w:r>
        <w:rPr>
          <w:rFonts w:ascii="仿宋_GB2312" w:eastAsia="仿宋_GB2312" w:hAnsi="Times New Roman" w:cs="DengXian-Regular" w:hint="eastAsia"/>
          <w:sz w:val="32"/>
          <w:szCs w:val="32"/>
        </w:rPr>
        <w:t>单位</w:t>
      </w:r>
      <w:r>
        <w:rPr>
          <w:rFonts w:ascii="仿宋_GB2312" w:eastAsia="仿宋_GB2312" w:hAnsi="仿宋_GB2312" w:cs="仿宋_GB2312" w:hint="eastAsia"/>
          <w:sz w:val="32"/>
          <w:szCs w:val="32"/>
        </w:rPr>
        <w:t>在今年</w:t>
      </w:r>
      <w:r w:rsidR="00C73FD3">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决算公开中反映</w:t>
      </w:r>
      <w:r w:rsidR="00C73FD3">
        <w:rPr>
          <w:rFonts w:ascii="仿宋_GB2312" w:eastAsia="仿宋_GB2312" w:hAnsi="仿宋_GB2312" w:cs="仿宋_GB2312" w:hint="eastAsia"/>
          <w:sz w:val="32"/>
          <w:szCs w:val="32"/>
        </w:rPr>
        <w:t>石家庄市</w:t>
      </w:r>
      <w:proofErr w:type="gramStart"/>
      <w:r w:rsidR="00C73FD3">
        <w:rPr>
          <w:rFonts w:ascii="仿宋_GB2312" w:eastAsia="仿宋_GB2312" w:hAnsi="仿宋_GB2312" w:cs="仿宋_GB2312" w:hint="eastAsia"/>
          <w:sz w:val="32"/>
          <w:szCs w:val="32"/>
        </w:rPr>
        <w:t>藁</w:t>
      </w:r>
      <w:proofErr w:type="gramEnd"/>
      <w:r w:rsidR="00C73FD3">
        <w:rPr>
          <w:rFonts w:ascii="仿宋_GB2312" w:eastAsia="仿宋_GB2312" w:hAnsi="仿宋_GB2312" w:cs="仿宋_GB2312" w:hint="eastAsia"/>
          <w:sz w:val="32"/>
          <w:szCs w:val="32"/>
        </w:rPr>
        <w:t>城区第七中学</w:t>
      </w:r>
      <w:r>
        <w:rPr>
          <w:rFonts w:ascii="仿宋_GB2312" w:eastAsia="仿宋_GB2312" w:hAnsi="仿宋_GB2312" w:cs="仿宋_GB2312" w:hint="eastAsia"/>
          <w:sz w:val="32"/>
          <w:szCs w:val="32"/>
        </w:rPr>
        <w:t>厕所改造项目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个项目绩效自评结果。</w:t>
      </w:r>
    </w:p>
    <w:p w:rsidR="00A86EF3" w:rsidRDefault="001D2032">
      <w:pPr>
        <w:numPr>
          <w:ilvl w:val="0"/>
          <w:numId w:val="2"/>
        </w:numPr>
        <w:adjustRightInd w:val="0"/>
        <w:snapToGrid w:val="0"/>
        <w:spacing w:line="360" w:lineRule="auto"/>
        <w:ind w:firstLineChars="200" w:firstLine="420"/>
        <w:rPr>
          <w:rFonts w:ascii="仿宋_GB2312" w:eastAsia="仿宋_GB2312" w:hAnsi="仿宋_GB2312" w:cs="仿宋_GB2312"/>
          <w:sz w:val="32"/>
          <w:szCs w:val="32"/>
        </w:rPr>
      </w:pPr>
      <w:r>
        <w:rPr>
          <w:noProof/>
        </w:rPr>
        <w:drawing>
          <wp:anchor distT="0" distB="0" distL="114300" distR="114300" simplePos="0" relativeHeight="251673600" behindDoc="0" locked="0" layoutInCell="1" allowOverlap="1">
            <wp:simplePos x="0" y="0"/>
            <wp:positionH relativeFrom="column">
              <wp:posOffset>87630</wp:posOffset>
            </wp:positionH>
            <wp:positionV relativeFrom="paragraph">
              <wp:posOffset>1824355</wp:posOffset>
            </wp:positionV>
            <wp:extent cx="5615940" cy="6539230"/>
            <wp:effectExtent l="0" t="0" r="381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a:xfrm>
                      <a:off x="0" y="0"/>
                      <a:ext cx="5615940" cy="6539230"/>
                    </a:xfrm>
                    <a:prstGeom prst="rect">
                      <a:avLst/>
                    </a:prstGeom>
                    <a:noFill/>
                    <a:ln>
                      <a:noFill/>
                    </a:ln>
                  </pic:spPr>
                </pic:pic>
              </a:graphicData>
            </a:graphic>
          </wp:anchor>
        </w:drawing>
      </w:r>
      <w:r w:rsidR="00C73FD3">
        <w:rPr>
          <w:rFonts w:ascii="仿宋_GB2312" w:eastAsia="仿宋_GB2312" w:hAnsi="仿宋_GB2312" w:cs="仿宋_GB2312" w:hint="eastAsia"/>
          <w:sz w:val="32"/>
          <w:szCs w:val="32"/>
        </w:rPr>
        <w:t>石家庄市</w:t>
      </w:r>
      <w:proofErr w:type="gramStart"/>
      <w:r w:rsidR="00C73FD3">
        <w:rPr>
          <w:rFonts w:ascii="仿宋_GB2312" w:eastAsia="仿宋_GB2312" w:hAnsi="仿宋_GB2312" w:cs="仿宋_GB2312" w:hint="eastAsia"/>
          <w:sz w:val="32"/>
          <w:szCs w:val="32"/>
        </w:rPr>
        <w:t>藁</w:t>
      </w:r>
      <w:proofErr w:type="gramEnd"/>
      <w:r w:rsidR="00C73FD3">
        <w:rPr>
          <w:rFonts w:ascii="仿宋_GB2312" w:eastAsia="仿宋_GB2312" w:hAnsi="仿宋_GB2312" w:cs="仿宋_GB2312" w:hint="eastAsia"/>
          <w:sz w:val="32"/>
          <w:szCs w:val="32"/>
        </w:rPr>
        <w:t>城区第七中学</w:t>
      </w:r>
      <w:r>
        <w:rPr>
          <w:rFonts w:ascii="仿宋_GB2312" w:eastAsia="仿宋_GB2312" w:hAnsi="仿宋_GB2312" w:cs="仿宋_GB2312" w:hint="eastAsia"/>
          <w:sz w:val="32"/>
          <w:szCs w:val="32"/>
        </w:rPr>
        <w:t>厕所改造项目自评综述：根据年初设定的绩效目标，</w:t>
      </w:r>
      <w:r w:rsidR="00C73FD3">
        <w:rPr>
          <w:rFonts w:ascii="仿宋_GB2312" w:eastAsia="仿宋_GB2312" w:hAnsi="仿宋_GB2312" w:cs="仿宋_GB2312" w:hint="eastAsia"/>
          <w:sz w:val="32"/>
          <w:szCs w:val="32"/>
        </w:rPr>
        <w:t>石家庄市</w:t>
      </w:r>
      <w:proofErr w:type="gramStart"/>
      <w:r w:rsidR="00C73FD3">
        <w:rPr>
          <w:rFonts w:ascii="仿宋_GB2312" w:eastAsia="仿宋_GB2312" w:hAnsi="仿宋_GB2312" w:cs="仿宋_GB2312" w:hint="eastAsia"/>
          <w:sz w:val="32"/>
          <w:szCs w:val="32"/>
        </w:rPr>
        <w:t>藁</w:t>
      </w:r>
      <w:proofErr w:type="gramEnd"/>
      <w:r w:rsidR="00C73FD3">
        <w:rPr>
          <w:rFonts w:ascii="仿宋_GB2312" w:eastAsia="仿宋_GB2312" w:hAnsi="仿宋_GB2312" w:cs="仿宋_GB2312" w:hint="eastAsia"/>
          <w:sz w:val="32"/>
          <w:szCs w:val="32"/>
        </w:rPr>
        <w:t>城区第七中学</w:t>
      </w:r>
      <w:r>
        <w:rPr>
          <w:rFonts w:ascii="仿宋_GB2312" w:eastAsia="仿宋_GB2312" w:hAnsi="仿宋_GB2312" w:cs="仿宋_GB2312" w:hint="eastAsia"/>
          <w:sz w:val="32"/>
          <w:szCs w:val="32"/>
        </w:rPr>
        <w:t>厕所改造项目绩效自评得分为</w:t>
      </w:r>
      <w:r>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分（绩效自评表附后）。全年预算数为</w:t>
      </w:r>
      <w:r>
        <w:rPr>
          <w:rFonts w:ascii="仿宋_GB2312" w:eastAsia="仿宋_GB2312" w:hAnsi="仿宋_GB2312" w:cs="仿宋_GB2312" w:hint="eastAsia"/>
          <w:sz w:val="32"/>
          <w:szCs w:val="32"/>
        </w:rPr>
        <w:t>31.25</w:t>
      </w:r>
      <w:r>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31.25</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。项目绩效目标完成情况：通过项目实施，完成了年初设定的各项绩效目标，完成率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。未发现问题。</w:t>
      </w: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A86EF3">
      <w:pPr>
        <w:adjustRightInd w:val="0"/>
        <w:snapToGrid w:val="0"/>
        <w:spacing w:line="580" w:lineRule="exact"/>
        <w:rPr>
          <w:rFonts w:ascii="仿宋_GB2312" w:eastAsia="仿宋_GB2312" w:hAnsi="仿宋_GB2312" w:cs="仿宋_GB2312"/>
          <w:sz w:val="32"/>
          <w:szCs w:val="32"/>
        </w:rPr>
      </w:pPr>
    </w:p>
    <w:p w:rsidR="00A86EF3" w:rsidRDefault="00A86EF3">
      <w:pPr>
        <w:adjustRightInd w:val="0"/>
        <w:snapToGrid w:val="0"/>
        <w:spacing w:line="580" w:lineRule="exact"/>
        <w:ind w:leftChars="200" w:left="420" w:firstLineChars="100" w:firstLine="320"/>
        <w:rPr>
          <w:rFonts w:ascii="仿宋_GB2312" w:eastAsia="仿宋_GB2312" w:hAnsi="仿宋_GB2312" w:cs="仿宋_GB2312"/>
          <w:sz w:val="32"/>
          <w:szCs w:val="32"/>
        </w:rPr>
      </w:pPr>
    </w:p>
    <w:p w:rsidR="00A86EF3" w:rsidRDefault="001D2032">
      <w:pPr>
        <w:adjustRightInd w:val="0"/>
        <w:snapToGrid w:val="0"/>
        <w:spacing w:line="580" w:lineRule="exact"/>
        <w:ind w:leftChars="200" w:left="420" w:firstLineChars="100" w:firstLine="321"/>
        <w:rPr>
          <w:rFonts w:ascii="仿宋_GB2312" w:eastAsia="仿宋_GB2312" w:hAnsi="仿宋_GB2312" w:cs="仿宋_GB2312"/>
          <w:sz w:val="32"/>
          <w:szCs w:val="32"/>
        </w:rPr>
      </w:pPr>
      <w:r>
        <w:rPr>
          <w:rFonts w:ascii="仿宋_GB2312" w:eastAsia="仿宋_GB2312" w:hAnsi="仿宋_GB2312" w:cs="仿宋_GB2312" w:hint="eastAsia"/>
          <w:b/>
          <w:bCs/>
          <w:sz w:val="32"/>
          <w:szCs w:val="32"/>
        </w:rPr>
        <w:t>（三）财政评价项目绩效评价结果</w:t>
      </w:r>
    </w:p>
    <w:p w:rsidR="00A86EF3" w:rsidRDefault="001D2032">
      <w:pPr>
        <w:adjustRightInd w:val="0"/>
        <w:snapToGrid w:val="0"/>
        <w:spacing w:line="580" w:lineRule="exact"/>
        <w:ind w:leftChars="200" w:left="420" w:firstLineChars="100" w:firstLine="320"/>
        <w:rPr>
          <w:rFonts w:ascii="仿宋_GB2312" w:eastAsia="仿宋_GB2312" w:hAnsi="仿宋_GB2312" w:cs="仿宋_GB2312"/>
          <w:sz w:val="32"/>
          <w:szCs w:val="32"/>
        </w:rPr>
      </w:pPr>
      <w:r>
        <w:rPr>
          <w:rFonts w:ascii="黑体" w:eastAsia="黑体" w:hAnsi="Calibri" w:cs="Times New Roman" w:hint="eastAsia"/>
          <w:sz w:val="32"/>
          <w:szCs w:val="32"/>
        </w:rPr>
        <w:t>七、机关运行经费情况</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年度机关运行经费支出</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万元，比</w:t>
      </w:r>
      <w:r>
        <w:rPr>
          <w:rFonts w:ascii="仿宋_GB2312" w:eastAsia="仿宋_GB2312" w:hAnsi="Times New Roman" w:cs="DengXian-Regular" w:hint="eastAsia"/>
          <w:sz w:val="32"/>
          <w:szCs w:val="32"/>
        </w:rPr>
        <w:t>2020</w:t>
      </w:r>
      <w:r>
        <w:rPr>
          <w:rFonts w:ascii="仿宋_GB2312" w:eastAsia="仿宋_GB2312" w:hAnsi="Times New Roman" w:cs="DengXian-Regular" w:hint="eastAsia"/>
          <w:sz w:val="32"/>
          <w:szCs w:val="32"/>
        </w:rPr>
        <w:t>年度增加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万元，增长</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。主要原因是无此类支出发生。</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黑体" w:eastAsia="黑体" w:hAnsi="Calibri" w:cs="Times New Roman" w:hint="eastAsia"/>
          <w:sz w:val="32"/>
          <w:szCs w:val="32"/>
        </w:rPr>
        <w:t>八、政府采购情况</w:t>
      </w:r>
    </w:p>
    <w:p w:rsidR="00A86EF3" w:rsidRDefault="001D2032">
      <w:pPr>
        <w:snapToGrid w:val="0"/>
        <w:spacing w:line="580" w:lineRule="exact"/>
        <w:ind w:firstLineChars="200" w:firstLine="640"/>
        <w:jc w:val="left"/>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年度政府采购支出总额</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万元，从采购类型来看，</w:t>
      </w:r>
      <w:r>
        <w:rPr>
          <w:rFonts w:ascii="仿宋_GB2312" w:eastAsia="仿宋_GB2312" w:hAnsi="仿宋_GB2312" w:cs="仿宋_GB2312"/>
          <w:color w:val="000000"/>
          <w:kern w:val="0"/>
          <w:sz w:val="32"/>
          <w:szCs w:val="32"/>
          <w:lang w:bidi="ar"/>
        </w:rPr>
        <w:t>政府采购货物支出</w:t>
      </w:r>
      <w:r>
        <w:rPr>
          <w:rFonts w:ascii="仿宋_GB2312" w:eastAsia="仿宋_GB2312" w:hAnsi="仿宋_GB2312" w:cs="仿宋_GB2312" w:hint="eastAsia"/>
          <w:color w:val="000000"/>
          <w:kern w:val="0"/>
          <w:sz w:val="32"/>
          <w:szCs w:val="32"/>
          <w:lang w:bidi="ar"/>
        </w:rPr>
        <w:t>0</w:t>
      </w:r>
      <w:r>
        <w:rPr>
          <w:rFonts w:ascii="仿宋_GB2312" w:eastAsia="仿宋_GB2312" w:hAnsi="仿宋_GB2312" w:cs="仿宋_GB2312"/>
          <w:color w:val="000000"/>
          <w:kern w:val="0"/>
          <w:sz w:val="32"/>
          <w:szCs w:val="32"/>
          <w:lang w:bidi="ar"/>
        </w:rPr>
        <w:t>万元，授予中小企业合同金</w:t>
      </w:r>
      <w:r>
        <w:rPr>
          <w:rFonts w:ascii="仿宋_GB2312" w:eastAsia="仿宋_GB2312" w:hAnsi="仿宋_GB2312" w:cs="仿宋_GB2312" w:hint="eastAsia"/>
          <w:color w:val="000000"/>
          <w:kern w:val="0"/>
          <w:sz w:val="32"/>
          <w:szCs w:val="32"/>
          <w:lang w:bidi="ar"/>
        </w:rPr>
        <w:t>0</w:t>
      </w:r>
      <w:r>
        <w:rPr>
          <w:rFonts w:ascii="仿宋_GB2312" w:eastAsia="仿宋_GB2312" w:hAnsi="仿宋_GB2312" w:cs="仿宋_GB2312"/>
          <w:color w:val="000000"/>
          <w:kern w:val="0"/>
          <w:sz w:val="32"/>
          <w:szCs w:val="32"/>
          <w:lang w:bidi="ar"/>
        </w:rPr>
        <w:t>万元，占政府采购支出总额的</w:t>
      </w:r>
      <w:r>
        <w:rPr>
          <w:rFonts w:ascii="仿宋_GB2312" w:eastAsia="仿宋_GB2312" w:hAnsi="仿宋_GB2312" w:cs="仿宋_GB2312" w:hint="eastAsia"/>
          <w:color w:val="000000"/>
          <w:kern w:val="0"/>
          <w:sz w:val="32"/>
          <w:szCs w:val="32"/>
          <w:lang w:bidi="ar"/>
        </w:rPr>
        <w:t>0%</w:t>
      </w:r>
      <w:r>
        <w:rPr>
          <w:rFonts w:ascii="仿宋_GB2312" w:eastAsia="仿宋_GB2312" w:hAnsi="仿宋_GB2312" w:cs="仿宋_GB2312" w:hint="eastAsia"/>
          <w:color w:val="000000"/>
          <w:kern w:val="0"/>
          <w:sz w:val="32"/>
          <w:szCs w:val="32"/>
          <w:lang w:bidi="ar"/>
        </w:rPr>
        <w:t>，</w:t>
      </w:r>
      <w:r>
        <w:rPr>
          <w:rFonts w:ascii="仿宋_GB2312" w:eastAsia="仿宋_GB2312" w:hAnsi="仿宋_GB2312" w:cs="仿宋_GB2312"/>
          <w:color w:val="000000"/>
          <w:kern w:val="0"/>
          <w:sz w:val="32"/>
          <w:szCs w:val="32"/>
          <w:lang w:bidi="ar"/>
        </w:rPr>
        <w:t>其中授予小</w:t>
      </w:r>
      <w:proofErr w:type="gramStart"/>
      <w:r>
        <w:rPr>
          <w:rFonts w:ascii="仿宋_GB2312" w:eastAsia="仿宋_GB2312" w:hAnsi="仿宋_GB2312" w:cs="仿宋_GB2312"/>
          <w:color w:val="000000"/>
          <w:kern w:val="0"/>
          <w:sz w:val="32"/>
          <w:szCs w:val="32"/>
          <w:lang w:bidi="ar"/>
        </w:rPr>
        <w:t>微企业</w:t>
      </w:r>
      <w:proofErr w:type="gramEnd"/>
      <w:r>
        <w:rPr>
          <w:rFonts w:ascii="仿宋_GB2312" w:eastAsia="仿宋_GB2312" w:hAnsi="仿宋_GB2312" w:cs="仿宋_GB2312"/>
          <w:color w:val="000000"/>
          <w:kern w:val="0"/>
          <w:sz w:val="32"/>
          <w:szCs w:val="32"/>
          <w:lang w:bidi="ar"/>
        </w:rPr>
        <w:t>合同金额</w:t>
      </w:r>
      <w:r>
        <w:rPr>
          <w:rFonts w:ascii="仿宋_GB2312" w:eastAsia="仿宋_GB2312" w:hAnsi="仿宋_GB2312" w:cs="仿宋_GB2312" w:hint="eastAsia"/>
          <w:color w:val="000000"/>
          <w:kern w:val="0"/>
          <w:sz w:val="32"/>
          <w:szCs w:val="32"/>
          <w:lang w:bidi="ar"/>
        </w:rPr>
        <w:t>0</w:t>
      </w:r>
      <w:r>
        <w:rPr>
          <w:rFonts w:ascii="仿宋_GB2312" w:eastAsia="仿宋_GB2312" w:hAnsi="仿宋_GB2312" w:cs="仿宋_GB2312"/>
          <w:color w:val="000000"/>
          <w:kern w:val="0"/>
          <w:sz w:val="32"/>
          <w:szCs w:val="32"/>
          <w:lang w:bidi="ar"/>
        </w:rPr>
        <w:t>万元，占政府采购支出总额的</w:t>
      </w:r>
      <w:r>
        <w:rPr>
          <w:rFonts w:ascii="仿宋_GB2312" w:eastAsia="仿宋_GB2312" w:hAnsi="仿宋_GB2312" w:cs="仿宋_GB2312" w:hint="eastAsia"/>
          <w:color w:val="000000"/>
          <w:kern w:val="0"/>
          <w:sz w:val="32"/>
          <w:szCs w:val="32"/>
          <w:lang w:bidi="ar"/>
        </w:rPr>
        <w:t>0</w:t>
      </w:r>
      <w:r>
        <w:rPr>
          <w:rFonts w:ascii="仿宋_GB2312" w:eastAsia="仿宋_GB2312" w:hAnsi="仿宋_GB2312" w:cs="仿宋_GB2312"/>
          <w:color w:val="000000"/>
          <w:kern w:val="0"/>
          <w:sz w:val="32"/>
          <w:szCs w:val="32"/>
          <w:lang w:bidi="ar"/>
        </w:rPr>
        <w:t>%</w:t>
      </w:r>
      <w:r>
        <w:rPr>
          <w:rFonts w:ascii="仿宋_GB2312" w:eastAsia="仿宋_GB2312" w:hAnsi="仿宋_GB2312" w:cs="仿宋_GB2312"/>
          <w:color w:val="000000"/>
          <w:kern w:val="0"/>
          <w:sz w:val="32"/>
          <w:szCs w:val="32"/>
          <w:lang w:bidi="ar"/>
        </w:rPr>
        <w:t>。</w:t>
      </w:r>
    </w:p>
    <w:p w:rsidR="00A86EF3" w:rsidRDefault="001D2032">
      <w:pPr>
        <w:snapToGrid w:val="0"/>
        <w:spacing w:line="580" w:lineRule="exact"/>
        <w:ind w:firstLineChars="200" w:firstLine="640"/>
        <w:jc w:val="left"/>
        <w:rPr>
          <w:rFonts w:ascii="仿宋_GB2312" w:eastAsia="仿宋_GB2312" w:hAnsi="Times New Roman" w:cs="DengXian-Regular"/>
          <w:sz w:val="32"/>
          <w:szCs w:val="32"/>
          <w:highlight w:val="yellow"/>
        </w:rPr>
      </w:pPr>
      <w:r>
        <w:rPr>
          <w:rFonts w:ascii="黑体" w:eastAsia="黑体" w:hAnsi="Calibri" w:cs="Times New Roman" w:hint="eastAsia"/>
          <w:sz w:val="32"/>
          <w:szCs w:val="32"/>
        </w:rPr>
        <w:t>九、国有资产占用情况</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截至</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w:t>
      </w:r>
      <w:r>
        <w:rPr>
          <w:rFonts w:ascii="仿宋_GB2312" w:eastAsia="仿宋_GB2312" w:hAnsi="Times New Roman" w:cs="DengXian-Regular" w:hint="eastAsia"/>
          <w:sz w:val="32"/>
          <w:szCs w:val="32"/>
        </w:rPr>
        <w:t>12</w:t>
      </w:r>
      <w:r>
        <w:rPr>
          <w:rFonts w:ascii="仿宋_GB2312" w:eastAsia="仿宋_GB2312" w:hAnsi="Times New Roman" w:cs="DengXian-Regular" w:hint="eastAsia"/>
          <w:sz w:val="32"/>
          <w:szCs w:val="32"/>
        </w:rPr>
        <w:t>月</w:t>
      </w:r>
      <w:r>
        <w:rPr>
          <w:rFonts w:ascii="仿宋_GB2312" w:eastAsia="仿宋_GB2312" w:hAnsi="Times New Roman" w:cs="DengXian-Regular" w:hint="eastAsia"/>
          <w:sz w:val="32"/>
          <w:szCs w:val="32"/>
        </w:rPr>
        <w:t>31</w:t>
      </w:r>
      <w:r>
        <w:rPr>
          <w:rFonts w:ascii="仿宋_GB2312" w:eastAsia="仿宋_GB2312" w:hAnsi="Times New Roman" w:cs="DengXian-Regular" w:hint="eastAsia"/>
          <w:sz w:val="32"/>
          <w:szCs w:val="32"/>
        </w:rPr>
        <w:t>日，本</w:t>
      </w:r>
      <w:r w:rsidR="00C73FD3">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共有车辆</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辆，比上年增加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辆。其中，副部（省）级及以上领导用车</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辆，主要领导干部用车</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辆，机要通信用车</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辆，应急保障用车</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辆，执法执勤用车</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辆，特种专业技术用车</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辆，离退休干部用车</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辆，其他用车</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辆；</w:t>
      </w:r>
    </w:p>
    <w:p w:rsidR="00A86EF3" w:rsidRDefault="001D2032">
      <w:pPr>
        <w:adjustRightInd w:val="0"/>
        <w:snapToGrid w:val="0"/>
        <w:spacing w:line="580" w:lineRule="exact"/>
        <w:ind w:firstLineChars="200" w:firstLine="640"/>
        <w:rPr>
          <w:rFonts w:ascii="楷体_GB2312" w:eastAsia="楷体_GB2312" w:hAnsi="Times New Roman" w:cs="DengXian-Bold"/>
          <w:b/>
          <w:bCs/>
          <w:sz w:val="32"/>
          <w:szCs w:val="32"/>
        </w:rPr>
      </w:pPr>
      <w:r>
        <w:rPr>
          <w:rFonts w:ascii="仿宋_GB2312" w:eastAsia="仿宋_GB2312" w:hAnsi="Times New Roman" w:cs="DengXian-Regular" w:hint="eastAsia"/>
          <w:sz w:val="32"/>
          <w:szCs w:val="32"/>
        </w:rPr>
        <w:t>单位价值</w:t>
      </w:r>
      <w:r>
        <w:rPr>
          <w:rFonts w:ascii="仿宋_GB2312" w:eastAsia="仿宋_GB2312" w:hAnsi="TimesNewRomanPSMT" w:cs="TimesNewRomanPSMT" w:hint="eastAsia"/>
          <w:sz w:val="32"/>
          <w:szCs w:val="32"/>
        </w:rPr>
        <w:t>50</w:t>
      </w:r>
      <w:r>
        <w:rPr>
          <w:rFonts w:ascii="仿宋_GB2312" w:eastAsia="仿宋_GB2312" w:hAnsi="Times New Roman" w:cs="DengXian-Regular" w:hint="eastAsia"/>
          <w:sz w:val="32"/>
          <w:szCs w:val="32"/>
        </w:rPr>
        <w:t>万元以上通用设备</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台（套），比上年增加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套，主要</w:t>
      </w:r>
      <w:r>
        <w:rPr>
          <w:rFonts w:ascii="仿宋_GB2312" w:eastAsia="仿宋_GB2312" w:hAnsi="Times New Roman" w:cs="DengXian-Regular" w:hint="eastAsia"/>
          <w:sz w:val="32"/>
          <w:szCs w:val="32"/>
        </w:rPr>
        <w:t>是没有此类设备，单位价值</w:t>
      </w:r>
      <w:r>
        <w:rPr>
          <w:rFonts w:ascii="仿宋_GB2312" w:eastAsia="仿宋_GB2312" w:hAnsi="TimesNewRomanPSMT" w:cs="TimesNewRomanPSMT" w:hint="eastAsia"/>
          <w:sz w:val="32"/>
          <w:szCs w:val="32"/>
        </w:rPr>
        <w:t>100</w:t>
      </w:r>
      <w:r>
        <w:rPr>
          <w:rFonts w:ascii="仿宋_GB2312" w:eastAsia="仿宋_GB2312" w:hAnsi="Times New Roman" w:cs="DengXian-Regular" w:hint="eastAsia"/>
          <w:sz w:val="32"/>
          <w:szCs w:val="32"/>
        </w:rPr>
        <w:t>万元以上专用设备</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台（套）比上年增加</w:t>
      </w:r>
      <w:r>
        <w:rPr>
          <w:rFonts w:ascii="仿宋_GB2312" w:eastAsia="仿宋_GB2312" w:hAnsi="Times New Roman" w:cs="DengXian-Regular" w:hint="eastAsia"/>
          <w:sz w:val="32"/>
          <w:szCs w:val="32"/>
        </w:rPr>
        <w:t>0</w:t>
      </w:r>
      <w:r>
        <w:rPr>
          <w:rFonts w:ascii="仿宋_GB2312" w:eastAsia="仿宋_GB2312" w:hAnsi="Times New Roman" w:cs="DengXian-Regular" w:hint="eastAsia"/>
          <w:sz w:val="32"/>
          <w:szCs w:val="32"/>
        </w:rPr>
        <w:t>套，主要是没有此类设备。</w:t>
      </w:r>
    </w:p>
    <w:p w:rsidR="00A86EF3" w:rsidRDefault="001D2032">
      <w:pPr>
        <w:adjustRightInd w:val="0"/>
        <w:snapToGrid w:val="0"/>
        <w:spacing w:line="580" w:lineRule="exact"/>
        <w:ind w:firstLineChars="200" w:firstLine="640"/>
        <w:rPr>
          <w:rFonts w:ascii="楷体_GB2312" w:eastAsia="楷体_GB2312" w:hAnsi="Times New Roman" w:cs="DengXian-Bold"/>
          <w:b/>
          <w:bCs/>
          <w:sz w:val="32"/>
          <w:szCs w:val="32"/>
        </w:rPr>
      </w:pPr>
      <w:r>
        <w:rPr>
          <w:rFonts w:ascii="黑体" w:eastAsia="黑体" w:hAnsi="Calibri" w:cs="Times New Roman" w:hint="eastAsia"/>
          <w:sz w:val="32"/>
          <w:szCs w:val="32"/>
        </w:rPr>
        <w:t>十、其他需要说明的情况</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lastRenderedPageBreak/>
        <w:t xml:space="preserve">1. </w:t>
      </w:r>
      <w:r>
        <w:rPr>
          <w:rFonts w:ascii="仿宋_GB2312" w:eastAsia="仿宋_GB2312" w:hAnsi="Times New Roman" w:cs="DengXian-Regular" w:hint="eastAsia"/>
          <w:sz w:val="32"/>
          <w:szCs w:val="32"/>
        </w:rPr>
        <w:t>本</w:t>
      </w:r>
      <w:r>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w:t>
      </w:r>
      <w:r>
        <w:rPr>
          <w:rFonts w:ascii="仿宋_GB2312" w:eastAsia="仿宋_GB2312" w:hAnsi="Times New Roman" w:cs="DengXian-Regular" w:hint="eastAsia"/>
          <w:sz w:val="32"/>
          <w:szCs w:val="32"/>
        </w:rPr>
        <w:t>年度无收支及结转结余情况，故收支结余表以空表列示。</w:t>
      </w:r>
    </w:p>
    <w:p w:rsidR="00A86EF3" w:rsidRDefault="001D2032">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 xml:space="preserve">2. </w:t>
      </w:r>
      <w:r>
        <w:rPr>
          <w:rFonts w:ascii="仿宋_GB2312" w:eastAsia="仿宋_GB2312" w:hAnsi="Times New Roman" w:cs="DengXian-Regular" w:hint="eastAsia"/>
          <w:sz w:val="32"/>
          <w:szCs w:val="32"/>
        </w:rPr>
        <w:t>由于决算公开表格中金额数值应当保留两位小数，公开数据为四舍五入计算结果，个别数据合计项与分项之和存在小数点后差额，特此说明。</w:t>
      </w:r>
    </w:p>
    <w:p w:rsidR="00A86EF3" w:rsidRDefault="00A86EF3">
      <w:pPr>
        <w:widowControl/>
        <w:spacing w:line="580" w:lineRule="exact"/>
        <w:ind w:firstLineChars="200" w:firstLine="883"/>
        <w:jc w:val="left"/>
        <w:rPr>
          <w:rFonts w:ascii="宋体" w:eastAsia="宋体" w:hAnsi="宋体" w:cs="MS-UIGothic,Bold"/>
          <w:b/>
          <w:bCs/>
          <w:kern w:val="0"/>
          <w:sz w:val="44"/>
          <w:szCs w:val="44"/>
        </w:rPr>
      </w:pPr>
    </w:p>
    <w:p w:rsidR="00A86EF3" w:rsidRDefault="00A86EF3">
      <w:pPr>
        <w:rPr>
          <w:rFonts w:ascii="仿宋_GB2312" w:eastAsia="仿宋_GB2312" w:hAnsi="宋体" w:cs="ArialUnicodeMS"/>
          <w:sz w:val="32"/>
          <w:szCs w:val="32"/>
        </w:rPr>
      </w:pPr>
    </w:p>
    <w:p w:rsidR="00A86EF3" w:rsidRDefault="00A86EF3">
      <w:pPr>
        <w:rPr>
          <w:rFonts w:ascii="仿宋_GB2312" w:eastAsia="仿宋_GB2312" w:hAnsi="宋体" w:cs="ArialUnicodeMS"/>
          <w:sz w:val="32"/>
          <w:szCs w:val="32"/>
        </w:rPr>
      </w:pPr>
    </w:p>
    <w:p w:rsidR="00A86EF3" w:rsidRDefault="00A86EF3">
      <w:pPr>
        <w:rPr>
          <w:rFonts w:ascii="仿宋_GB2312" w:eastAsia="仿宋_GB2312" w:hAnsi="宋体" w:cs="ArialUnicodeMS"/>
          <w:sz w:val="32"/>
          <w:szCs w:val="32"/>
        </w:rPr>
      </w:pPr>
    </w:p>
    <w:p w:rsidR="00A86EF3" w:rsidRDefault="00A86EF3">
      <w:pPr>
        <w:rPr>
          <w:rFonts w:ascii="仿宋_GB2312" w:eastAsia="仿宋_GB2312" w:hAnsi="宋体" w:cs="ArialUnicodeMS"/>
          <w:sz w:val="32"/>
          <w:szCs w:val="32"/>
        </w:rPr>
      </w:pPr>
    </w:p>
    <w:p w:rsidR="00A86EF3" w:rsidRDefault="00A86EF3">
      <w:pPr>
        <w:rPr>
          <w:rFonts w:ascii="仿宋_GB2312" w:eastAsia="仿宋_GB2312" w:hAnsi="宋体" w:cs="ArialUnicodeMS"/>
          <w:sz w:val="32"/>
          <w:szCs w:val="32"/>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1D2032">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lastRenderedPageBreak/>
        <w:t xml:space="preserve">   </w:t>
      </w:r>
    </w:p>
    <w:p w:rsidR="00A86EF3" w:rsidRDefault="00A86EF3">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p>
    <w:p w:rsidR="00A86EF3" w:rsidRDefault="001D2032">
      <w:pPr>
        <w:widowControl/>
        <w:jc w:val="center"/>
        <w:rPr>
          <w:rFonts w:ascii="黑体" w:eastAsia="黑体" w:hAnsi="黑体" w:cs="黑体"/>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pPr>
      <w:r>
        <w:rPr>
          <w:rFonts w:ascii="仿宋_GB2312" w:eastAsia="仿宋_GB2312" w:hAnsi="宋体" w:cs="Times New Roman" w:hint="eastAsia"/>
          <w:noProof/>
          <w:color w:val="000000"/>
          <w:kern w:val="0"/>
          <w:sz w:val="32"/>
          <w:szCs w:val="32"/>
        </w:rPr>
        <w:drawing>
          <wp:anchor distT="0" distB="0" distL="114300" distR="114300" simplePos="0" relativeHeight="251672576"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41">
                      <a:extLst>
                        <a:ext uri="{96DAC541-7B7A-43D3-8B79-37D633B846F1}">
                          <asvg:svgBlip xmlns:asvg="http://schemas.microsoft.com/office/drawing/2016/SVG/main" xmlns:wpsCustomData="http://www.wps.cn/officeDocument/2013/wpsCustomData" xmlns:w15="http://schemas.microsoft.com/office/word/2012/wordml" xmlns:w10="urn:schemas-microsoft-com:office:word" xmlns:w="http://schemas.openxmlformats.org/wordprocessingml/2006/main" xmlns:v="urn:schemas-microsoft-com:vml" xmlns:o="urn:schemas-microsoft-com:office:office" xmlns="" r:embed="rId42"/>
                        </a:ext>
                      </a:extLst>
                    </a:blip>
                    <a:stretch>
                      <a:fillRect/>
                    </a:stretch>
                  </pic:blipFill>
                  <pic:spPr>
                    <a:xfrm>
                      <a:off x="0" y="0"/>
                      <a:ext cx="640080" cy="640080"/>
                    </a:xfrm>
                    <a:prstGeom prst="rect">
                      <a:avLst/>
                    </a:prstGeom>
                  </pic:spPr>
                </pic:pic>
              </a:graphicData>
            </a:graphic>
          </wp:anchor>
        </w:drawing>
      </w:r>
    </w:p>
    <w:p w:rsidR="00A86EF3" w:rsidRDefault="001D2032">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第四部分</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 xml:space="preserve"> </w:t>
      </w:r>
      <w:r>
        <w:rPr>
          <w:rFonts w:ascii="黑体" w:eastAsia="黑体" w:hAnsi="黑体" w:cs="黑体" w:hint="eastAsia"/>
          <w:color w:val="000000" w:themeColor="text1"/>
          <w:sz w:val="44"/>
          <w:szCs w:val="44"/>
          <w14:shadow w14:blurRad="38100" w14:dist="22860" w14:dir="5400000" w14:sx="100000" w14:sy="100000" w14:kx="0" w14:ky="0" w14:algn="tl">
            <w14:srgbClr w14:val="000000">
              <w14:alpha w14:val="70000"/>
            </w14:srgbClr>
          </w14:shadow>
          <w14:props3d w14:extrusionH="0" w14:contourW="0" w14:prstMaterial="clear"/>
        </w:rPr>
        <w:t>相关名词解释</w:t>
      </w:r>
    </w:p>
    <w:p w:rsidR="00A86EF3" w:rsidRDefault="00A86EF3">
      <w:pPr>
        <w:rPr>
          <w:rFonts w:ascii="仿宋_GB2312" w:eastAsia="仿宋_GB2312" w:hAnsi="宋体" w:cs="ArialUnicodeMS"/>
          <w:sz w:val="32"/>
          <w:szCs w:val="32"/>
        </w:rPr>
      </w:pPr>
    </w:p>
    <w:p w:rsidR="00A86EF3" w:rsidRDefault="001D2032">
      <w:pPr>
        <w:rPr>
          <w:rFonts w:ascii="仿宋_GB2312" w:eastAsia="仿宋_GB2312" w:hAnsi="宋体" w:cs="ArialUnicodeMS"/>
          <w:sz w:val="32"/>
          <w:szCs w:val="32"/>
        </w:rPr>
      </w:pPr>
      <w:r>
        <w:rPr>
          <w:rFonts w:ascii="仿宋_GB2312" w:eastAsia="仿宋_GB2312" w:hAnsi="宋体" w:cs="ArialUnicodeMS" w:hint="eastAsia"/>
          <w:sz w:val="32"/>
          <w:szCs w:val="32"/>
        </w:rPr>
        <w:br w:type="page"/>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（一）财</w:t>
      </w:r>
      <w:r>
        <w:rPr>
          <w:rFonts w:ascii="仿宋_GB2312" w:eastAsia="仿宋_GB2312" w:hAnsi="宋体" w:cs="Times New Roman" w:hint="eastAsia"/>
          <w:b/>
          <w:bCs/>
          <w:color w:val="000000"/>
          <w:kern w:val="0"/>
          <w:sz w:val="32"/>
          <w:szCs w:val="32"/>
        </w:rPr>
        <w:t>政拨款收入：</w:t>
      </w:r>
      <w:r>
        <w:rPr>
          <w:rFonts w:ascii="仿宋_GB2312" w:eastAsia="仿宋_GB2312" w:hAnsi="宋体" w:cs="Times New Roman" w:hint="eastAsia"/>
          <w:color w:val="000000"/>
          <w:kern w:val="0"/>
          <w:sz w:val="32"/>
          <w:szCs w:val="32"/>
        </w:rPr>
        <w:t>本年度从本级财政</w:t>
      </w:r>
      <w:r w:rsidR="00C73FD3">
        <w:rPr>
          <w:rFonts w:ascii="仿宋_GB2312" w:eastAsia="仿宋_GB2312" w:hAnsi="宋体" w:cs="Times New Roman" w:hint="eastAsia"/>
          <w:color w:val="000000"/>
          <w:kern w:val="0"/>
          <w:sz w:val="32"/>
          <w:szCs w:val="32"/>
        </w:rPr>
        <w:t>单位</w:t>
      </w:r>
      <w:r>
        <w:rPr>
          <w:rFonts w:ascii="仿宋_GB2312" w:eastAsia="仿宋_GB2312" w:hAnsi="宋体" w:cs="Times New Roman" w:hint="eastAsia"/>
          <w:color w:val="000000"/>
          <w:kern w:val="0"/>
          <w:sz w:val="32"/>
          <w:szCs w:val="32"/>
        </w:rPr>
        <w:t>取得的财政拨款，包括一般公共预算财政拨款和政府性基金预算财政拨款。</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（二）事业收入：</w:t>
      </w:r>
      <w:r>
        <w:rPr>
          <w:rFonts w:ascii="仿宋_GB2312" w:eastAsia="仿宋_GB2312" w:hAnsi="宋体" w:cs="Times New Roman" w:hint="eastAsia"/>
          <w:color w:val="000000"/>
          <w:kern w:val="0"/>
          <w:sz w:val="32"/>
          <w:szCs w:val="32"/>
        </w:rPr>
        <w:t>指事业单位开展专业业务活动及辅助活动所取得的收入。</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（三）其他收入：</w:t>
      </w:r>
      <w:r>
        <w:rPr>
          <w:rFonts w:ascii="仿宋_GB2312" w:eastAsia="仿宋_GB2312" w:hAnsi="宋体" w:cs="Times New Roman" w:hint="eastAsia"/>
          <w:color w:val="000000"/>
          <w:kern w:val="0"/>
          <w:sz w:val="32"/>
          <w:szCs w:val="32"/>
        </w:rPr>
        <w:t>指除上述“财政拨款收入”“事业收入”“经营收入”等以外的收入。</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（四）用事业基金弥补收支差额：</w:t>
      </w:r>
      <w:r>
        <w:rPr>
          <w:rFonts w:ascii="仿宋_GB2312" w:eastAsia="仿宋_GB2312" w:hAnsi="宋体" w:cs="Times New Roman" w:hint="eastAsia"/>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w:t>
      </w:r>
      <w:r>
        <w:rPr>
          <w:rFonts w:ascii="仿宋_GB2312" w:eastAsia="仿宋_GB2312" w:hAnsi="宋体" w:cs="Times New Roman" w:hint="eastAsia"/>
          <w:color w:val="000000"/>
          <w:kern w:val="0"/>
          <w:sz w:val="32"/>
          <w:szCs w:val="32"/>
        </w:rPr>
        <w:t>收支缺口的资金。</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（五）年初结转和结余：</w:t>
      </w:r>
      <w:r>
        <w:rPr>
          <w:rFonts w:ascii="仿宋_GB2312" w:eastAsia="仿宋_GB2312" w:hAnsi="宋体" w:cs="Times New Roman" w:hint="eastAsia"/>
          <w:color w:val="000000"/>
          <w:kern w:val="0"/>
          <w:sz w:val="32"/>
          <w:szCs w:val="32"/>
        </w:rPr>
        <w:t>指以前年度尚未完成、结转到本年仍按原规定用途继续使用的资金，或项目已完成等产生的结余资金。</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（六）结余分配：</w:t>
      </w:r>
      <w:r>
        <w:rPr>
          <w:rFonts w:ascii="仿宋_GB2312" w:eastAsia="仿宋_GB2312" w:hAnsi="宋体" w:cs="Times New Roman" w:hint="eastAsia"/>
          <w:color w:val="000000"/>
          <w:kern w:val="0"/>
          <w:sz w:val="32"/>
          <w:szCs w:val="32"/>
        </w:rPr>
        <w:t>指事业单位按照事业单位会计制度的规定从非财政补助结余中分配的事业基金和职工福利基金等。</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（七）年末结转和结余：</w:t>
      </w:r>
      <w:r>
        <w:rPr>
          <w:rFonts w:ascii="仿宋_GB2312" w:eastAsia="仿宋_GB2312" w:hAnsi="宋体" w:cs="Times New Roman" w:hint="eastAsia"/>
          <w:color w:val="000000"/>
          <w:kern w:val="0"/>
          <w:sz w:val="32"/>
          <w:szCs w:val="32"/>
        </w:rPr>
        <w:t>指单位按有关规定结转到下年或以后年度继续使用的资金，或项目已完成等产生的结余资金。</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（八）基本支出：</w:t>
      </w:r>
      <w:r>
        <w:rPr>
          <w:rFonts w:ascii="仿宋_GB2312" w:eastAsia="仿宋_GB2312" w:hAnsi="宋体" w:cs="Times New Roman" w:hint="eastAsia"/>
          <w:color w:val="000000"/>
          <w:kern w:val="0"/>
          <w:sz w:val="32"/>
          <w:szCs w:val="32"/>
        </w:rPr>
        <w:t>填列单位为保障机构正常运转、完成日常工作任务而发生的各项支出。</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（九）项目支出：</w:t>
      </w:r>
      <w:r>
        <w:rPr>
          <w:rFonts w:ascii="仿宋_GB2312" w:eastAsia="仿宋_GB2312" w:hAnsi="宋体" w:cs="Times New Roman" w:hint="eastAsia"/>
          <w:color w:val="000000"/>
          <w:kern w:val="0"/>
          <w:sz w:val="32"/>
          <w:szCs w:val="32"/>
        </w:rPr>
        <w:t>填列单位为完成特定的行政工作任务或事业发展目标，在基本支出之外发生的各项支出</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（十）基本建设支出：</w:t>
      </w:r>
      <w:r>
        <w:rPr>
          <w:rFonts w:ascii="仿宋_GB2312" w:eastAsia="仿宋_GB2312" w:hAnsi="宋体" w:cs="Times New Roman" w:hint="eastAsia"/>
          <w:color w:val="000000"/>
          <w:kern w:val="0"/>
          <w:sz w:val="32"/>
          <w:szCs w:val="32"/>
        </w:rPr>
        <w:t>填列由本级发展与改革</w:t>
      </w:r>
      <w:r w:rsidR="00C73FD3">
        <w:rPr>
          <w:rFonts w:ascii="仿宋_GB2312" w:eastAsia="仿宋_GB2312" w:hAnsi="宋体" w:cs="Times New Roman" w:hint="eastAsia"/>
          <w:color w:val="000000"/>
          <w:kern w:val="0"/>
          <w:sz w:val="32"/>
          <w:szCs w:val="32"/>
        </w:rPr>
        <w:t>单位</w:t>
      </w:r>
      <w:r>
        <w:rPr>
          <w:rFonts w:ascii="仿宋_GB2312" w:eastAsia="仿宋_GB2312" w:hAnsi="宋体" w:cs="Times New Roman" w:hint="eastAsia"/>
          <w:color w:val="000000"/>
          <w:kern w:val="0"/>
          <w:sz w:val="32"/>
          <w:szCs w:val="32"/>
        </w:rPr>
        <w:t>集中安排的用于购置固定资产、战略性和应急性储备、土地和无形资产，以及购建基础设施、大型修缮所发生的一般公共预算财政拨款支出，不包括政府性基金、财政专户管理资金以及各类拼盘自筹资金等。</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（十一）其他资本性支出：</w:t>
      </w:r>
      <w:r>
        <w:rPr>
          <w:rFonts w:ascii="仿宋_GB2312" w:eastAsia="仿宋_GB2312" w:hAnsi="宋体" w:cs="Times New Roman" w:hint="eastAsia"/>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rsidR="00A86EF3" w:rsidRDefault="001D2032">
      <w:pPr>
        <w:snapToGrid w:val="0"/>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（十二）“三公”经费：</w:t>
      </w:r>
      <w:r>
        <w:rPr>
          <w:rFonts w:ascii="仿宋_GB2312" w:eastAsia="仿宋_GB2312" w:hAnsi="宋体" w:cs="Times New Roman" w:hint="eastAsia"/>
          <w:color w:val="000000"/>
          <w:kern w:val="0"/>
          <w:sz w:val="32"/>
          <w:szCs w:val="32"/>
        </w:rPr>
        <w:t>指</w:t>
      </w:r>
      <w:r w:rsidR="00C73FD3">
        <w:rPr>
          <w:rFonts w:ascii="仿宋_GB2312" w:eastAsia="仿宋_GB2312" w:hAnsi="宋体" w:cs="Times New Roman" w:hint="eastAsia"/>
          <w:color w:val="000000"/>
          <w:kern w:val="0"/>
          <w:sz w:val="32"/>
          <w:szCs w:val="32"/>
        </w:rPr>
        <w:t>单位</w:t>
      </w:r>
      <w:r>
        <w:rPr>
          <w:rFonts w:ascii="仿宋_GB2312" w:eastAsia="仿宋_GB2312" w:hAnsi="宋体" w:cs="Times New Roman" w:hint="eastAsia"/>
          <w:color w:val="000000"/>
          <w:kern w:val="0"/>
          <w:sz w:val="32"/>
          <w:szCs w:val="32"/>
        </w:rPr>
        <w:t>用财政拨款安排的因公出国（境）费、公务用车购置及运行费和公务接待费。其中，因公出国（境）</w:t>
      </w:r>
      <w:proofErr w:type="gramStart"/>
      <w:r>
        <w:rPr>
          <w:rFonts w:ascii="仿宋_GB2312" w:eastAsia="仿宋_GB2312" w:hAnsi="宋体" w:cs="Times New Roman" w:hint="eastAsia"/>
          <w:color w:val="000000"/>
          <w:kern w:val="0"/>
          <w:sz w:val="32"/>
          <w:szCs w:val="32"/>
        </w:rPr>
        <w:t>费反映</w:t>
      </w:r>
      <w:proofErr w:type="gramEnd"/>
      <w:r>
        <w:rPr>
          <w:rFonts w:ascii="仿宋_GB2312" w:eastAsia="仿宋_GB2312" w:hAnsi="宋体" w:cs="Times New Roman" w:hint="eastAsia"/>
          <w:color w:val="000000"/>
          <w:kern w:val="0"/>
          <w:sz w:val="32"/>
          <w:szCs w:val="32"/>
        </w:rPr>
        <w:t>单位公务出国（境）的国际旅费、国外城市间交通费、住宿费、伙食费、培训费、公杂费等支出；公务用车购置及运行</w:t>
      </w:r>
      <w:proofErr w:type="gramStart"/>
      <w:r>
        <w:rPr>
          <w:rFonts w:ascii="仿宋_GB2312" w:eastAsia="仿宋_GB2312" w:hAnsi="宋体" w:cs="Times New Roman" w:hint="eastAsia"/>
          <w:color w:val="000000"/>
          <w:kern w:val="0"/>
          <w:sz w:val="32"/>
          <w:szCs w:val="32"/>
        </w:rPr>
        <w:t>费反映</w:t>
      </w:r>
      <w:proofErr w:type="gramEnd"/>
      <w:r>
        <w:rPr>
          <w:rFonts w:ascii="仿宋_GB2312" w:eastAsia="仿宋_GB2312" w:hAnsi="宋体" w:cs="Times New Roman" w:hint="eastAsia"/>
          <w:color w:val="000000"/>
          <w:kern w:val="0"/>
          <w:sz w:val="32"/>
          <w:szCs w:val="32"/>
        </w:rPr>
        <w:t>单位公务用车购置支出（</w:t>
      </w:r>
      <w:proofErr w:type="gramStart"/>
      <w:r>
        <w:rPr>
          <w:rFonts w:ascii="仿宋_GB2312" w:eastAsia="仿宋_GB2312" w:hAnsi="宋体" w:cs="Times New Roman" w:hint="eastAsia"/>
          <w:color w:val="000000"/>
          <w:kern w:val="0"/>
          <w:sz w:val="32"/>
          <w:szCs w:val="32"/>
        </w:rPr>
        <w:t>含车辆</w:t>
      </w:r>
      <w:proofErr w:type="gramEnd"/>
      <w:r>
        <w:rPr>
          <w:rFonts w:ascii="仿宋_GB2312" w:eastAsia="仿宋_GB2312" w:hAnsi="宋体" w:cs="Times New Roman" w:hint="eastAsia"/>
          <w:color w:val="000000"/>
          <w:kern w:val="0"/>
          <w:sz w:val="32"/>
          <w:szCs w:val="32"/>
        </w:rPr>
        <w:t>购置税、牌照费）及按规定保留的公务用车燃料费、维修费、过桥过路费、保险费、安全奖励费用等支出；公务接待</w:t>
      </w:r>
      <w:proofErr w:type="gramStart"/>
      <w:r>
        <w:rPr>
          <w:rFonts w:ascii="仿宋_GB2312" w:eastAsia="仿宋_GB2312" w:hAnsi="宋体" w:cs="Times New Roman" w:hint="eastAsia"/>
          <w:color w:val="000000"/>
          <w:kern w:val="0"/>
          <w:sz w:val="32"/>
          <w:szCs w:val="32"/>
        </w:rPr>
        <w:t>费反映</w:t>
      </w:r>
      <w:proofErr w:type="gramEnd"/>
      <w:r>
        <w:rPr>
          <w:rFonts w:ascii="仿宋_GB2312" w:eastAsia="仿宋_GB2312" w:hAnsi="宋体" w:cs="Times New Roman" w:hint="eastAsia"/>
          <w:color w:val="000000"/>
          <w:kern w:val="0"/>
          <w:sz w:val="32"/>
          <w:szCs w:val="32"/>
        </w:rPr>
        <w:t>单位按规定开支的各类公务接待（含外宾接待）支出。</w:t>
      </w:r>
    </w:p>
    <w:p w:rsidR="00A86EF3" w:rsidRDefault="001D2032">
      <w:pPr>
        <w:snapToGrid w:val="0"/>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（十三）其他交通费用：</w:t>
      </w:r>
      <w:r>
        <w:rPr>
          <w:rFonts w:ascii="仿宋_GB2312" w:eastAsia="仿宋_GB2312" w:hAnsi="宋体" w:cs="Times New Roman" w:hint="eastAsia"/>
          <w:color w:val="000000"/>
          <w:kern w:val="0"/>
          <w:sz w:val="32"/>
          <w:szCs w:val="32"/>
        </w:rPr>
        <w:t>填列单位除公务用车运行维护费以外的其他交通费用。如公务交通补贴、租车费用、出租车费用，飞机、船舶等燃</w:t>
      </w:r>
      <w:r>
        <w:rPr>
          <w:rFonts w:ascii="仿宋_GB2312" w:eastAsia="仿宋_GB2312" w:hAnsi="宋体" w:cs="Times New Roman" w:hint="eastAsia"/>
          <w:color w:val="000000"/>
          <w:kern w:val="0"/>
          <w:sz w:val="32"/>
          <w:szCs w:val="32"/>
        </w:rPr>
        <w:t>料费、维修费、保险费等。</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（十四）公务用车购置：</w:t>
      </w:r>
      <w:r>
        <w:rPr>
          <w:rFonts w:ascii="仿宋_GB2312" w:eastAsia="仿宋_GB2312" w:hAnsi="宋体" w:cs="Times New Roman" w:hint="eastAsia"/>
          <w:color w:val="000000"/>
          <w:kern w:val="0"/>
          <w:sz w:val="32"/>
          <w:szCs w:val="32"/>
        </w:rPr>
        <w:t>填列单位公务用车车辆购置支出（</w:t>
      </w:r>
      <w:proofErr w:type="gramStart"/>
      <w:r>
        <w:rPr>
          <w:rFonts w:ascii="仿宋_GB2312" w:eastAsia="仿宋_GB2312" w:hAnsi="宋体" w:cs="Times New Roman" w:hint="eastAsia"/>
          <w:color w:val="000000"/>
          <w:kern w:val="0"/>
          <w:sz w:val="32"/>
          <w:szCs w:val="32"/>
        </w:rPr>
        <w:t>含车辆</w:t>
      </w:r>
      <w:proofErr w:type="gramEnd"/>
      <w:r>
        <w:rPr>
          <w:rFonts w:ascii="仿宋_GB2312" w:eastAsia="仿宋_GB2312" w:hAnsi="宋体" w:cs="Times New Roman" w:hint="eastAsia"/>
          <w:color w:val="000000"/>
          <w:kern w:val="0"/>
          <w:sz w:val="32"/>
          <w:szCs w:val="32"/>
        </w:rPr>
        <w:t>购置税、牌照费）。</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（十五）其他交通工具购置：</w:t>
      </w:r>
      <w:r>
        <w:rPr>
          <w:rFonts w:ascii="仿宋_GB2312" w:eastAsia="仿宋_GB2312" w:hAnsi="宋体" w:cs="Times New Roman" w:hint="eastAsia"/>
          <w:color w:val="000000"/>
          <w:kern w:val="0"/>
          <w:sz w:val="32"/>
          <w:szCs w:val="32"/>
        </w:rPr>
        <w:t>填列单位除公务用车外的其他各类交通工具（如船舶、飞机等）购置支出（</w:t>
      </w:r>
      <w:proofErr w:type="gramStart"/>
      <w:r>
        <w:rPr>
          <w:rFonts w:ascii="仿宋_GB2312" w:eastAsia="仿宋_GB2312" w:hAnsi="宋体" w:cs="Times New Roman" w:hint="eastAsia"/>
          <w:color w:val="000000"/>
          <w:kern w:val="0"/>
          <w:sz w:val="32"/>
          <w:szCs w:val="32"/>
        </w:rPr>
        <w:t>含车辆</w:t>
      </w:r>
      <w:proofErr w:type="gramEnd"/>
      <w:r>
        <w:rPr>
          <w:rFonts w:ascii="仿宋_GB2312" w:eastAsia="仿宋_GB2312" w:hAnsi="宋体" w:cs="Times New Roman" w:hint="eastAsia"/>
          <w:color w:val="000000"/>
          <w:kern w:val="0"/>
          <w:sz w:val="32"/>
          <w:szCs w:val="32"/>
        </w:rPr>
        <w:t>购置税、牌照费）。</w:t>
      </w:r>
    </w:p>
    <w:p w:rsidR="00A86EF3" w:rsidRDefault="001D2032">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（十六）机关运行经费：</w:t>
      </w:r>
      <w:r>
        <w:rPr>
          <w:rFonts w:ascii="仿宋_GB2312" w:eastAsia="仿宋_GB2312" w:hAnsi="宋体" w:cs="Times New Roman" w:hint="eastAsia"/>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rsidR="00A86EF3" w:rsidRDefault="001D2032">
      <w:pPr>
        <w:tabs>
          <w:tab w:val="left" w:pos="235"/>
        </w:tabs>
        <w:ind w:firstLineChars="200" w:firstLine="643"/>
        <w:jc w:val="left"/>
        <w:rPr>
          <w:rFonts w:ascii="仿宋_GB2312" w:eastAsia="仿宋_GB2312" w:hAnsi="Cambria" w:cs="ArialUnicodeMS"/>
          <w:kern w:val="0"/>
          <w:sz w:val="32"/>
          <w:szCs w:val="32"/>
        </w:rPr>
      </w:pPr>
      <w:r>
        <w:rPr>
          <w:rFonts w:ascii="仿宋_GB2312" w:eastAsia="仿宋_GB2312" w:hAnsi="宋体" w:cs="Times New Roman" w:hint="eastAsia"/>
          <w:b/>
          <w:bCs/>
          <w:color w:val="000000"/>
          <w:kern w:val="0"/>
          <w:sz w:val="32"/>
          <w:szCs w:val="32"/>
        </w:rPr>
        <w:t>（十七）</w:t>
      </w:r>
      <w:r>
        <w:rPr>
          <w:rFonts w:ascii="仿宋_GB2312" w:eastAsia="仿宋_GB2312" w:hAnsi="宋体" w:cs="Times New Roman" w:hint="eastAsia"/>
          <w:b/>
          <w:bCs/>
          <w:color w:val="000000"/>
          <w:kern w:val="0"/>
          <w:sz w:val="32"/>
          <w:szCs w:val="32"/>
        </w:rPr>
        <w:t>经费形式</w:t>
      </w:r>
      <w:r>
        <w:rPr>
          <w:rFonts w:ascii="仿宋_GB2312" w:eastAsia="仿宋_GB2312" w:hAnsi="宋体" w:cs="Times New Roman" w:hint="eastAsia"/>
          <w:b/>
          <w:bCs/>
          <w:color w:val="000000"/>
          <w:kern w:val="0"/>
          <w:sz w:val="32"/>
          <w:szCs w:val="32"/>
        </w:rPr>
        <w:t>:</w:t>
      </w:r>
      <w:r>
        <w:rPr>
          <w:rFonts w:ascii="仿宋_GB2312" w:eastAsia="仿宋_GB2312" w:hAnsi="宋体" w:cs="Times New Roman" w:hint="eastAsia"/>
          <w:color w:val="000000"/>
          <w:kern w:val="0"/>
          <w:sz w:val="32"/>
          <w:szCs w:val="32"/>
        </w:rPr>
        <w:t>按照经费来源，</w:t>
      </w:r>
      <w:r>
        <w:rPr>
          <w:rFonts w:ascii="仿宋_GB2312" w:eastAsia="仿宋_GB2312" w:hAnsi="Cambria" w:cs="ArialUnicodeMS" w:hint="eastAsia"/>
          <w:kern w:val="0"/>
          <w:sz w:val="32"/>
          <w:szCs w:val="32"/>
        </w:rPr>
        <w:t>可分为财政拨款、财政性资金基本保证、财政性资金定额或定项补助、财政性资金零补助四类</w:t>
      </w:r>
    </w:p>
    <w:p w:rsidR="00A86EF3" w:rsidRDefault="00A86EF3"/>
    <w:sectPr w:rsidR="00A86EF3">
      <w:pgSz w:w="11906" w:h="16838"/>
      <w:pgMar w:top="2041" w:right="1531" w:bottom="204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032" w:rsidRDefault="001D2032">
      <w:r>
        <w:separator/>
      </w:r>
    </w:p>
  </w:endnote>
  <w:endnote w:type="continuationSeparator" w:id="0">
    <w:p w:rsidR="001D2032" w:rsidRDefault="001D2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思源黑体 CN Heavy">
    <w:altName w:val="黑体"/>
    <w:charset w:val="86"/>
    <w:family w:val="swiss"/>
    <w:pitch w:val="default"/>
    <w:sig w:usb0="00000000" w:usb1="00000000" w:usb2="00000016" w:usb3="00000000" w:csb0="00060107" w:csb1="00000000"/>
  </w:font>
  <w:font w:name="思源黑体 CN Bold">
    <w:altName w:val="黑体"/>
    <w:charset w:val="86"/>
    <w:family w:val="swiss"/>
    <w:pitch w:val="default"/>
    <w:sig w:usb0="00000000" w:usb1="00000000" w:usb2="00000016" w:usb3="00000000" w:csb0="00060107" w:csb1="00000000"/>
  </w:font>
  <w:font w:name="方正魏碑简体">
    <w:altName w:val="微软雅黑"/>
    <w:charset w:val="86"/>
    <w:family w:val="auto"/>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UnicodeMS">
    <w:altName w:val="Malgun Gothic"/>
    <w:charset w:val="81"/>
    <w:family w:val="auto"/>
    <w:pitch w:val="default"/>
    <w:sig w:usb0="00000000" w:usb1="00000000" w:usb2="00000010" w:usb3="00000000" w:csb0="00080001" w:csb1="00000000"/>
  </w:font>
  <w:font w:name="Cambria">
    <w:panose1 w:val="02040503050406030204"/>
    <w:charset w:val="00"/>
    <w:family w:val="roman"/>
    <w:pitch w:val="variable"/>
    <w:sig w:usb0="E00002FF" w:usb1="400004FF" w:usb2="00000000" w:usb3="00000000" w:csb0="0000019F" w:csb1="00000000"/>
  </w:font>
  <w:font w:name="DengXian-Regular">
    <w:altName w:val="宋体"/>
    <w:charset w:val="86"/>
    <w:family w:val="auto"/>
    <w:pitch w:val="default"/>
    <w:sig w:usb0="00000000" w:usb1="00000000" w:usb2="00000010" w:usb3="00000000" w:csb0="00040001" w:csb1="00000000"/>
  </w:font>
  <w:font w:name="DengXian-Bold">
    <w:altName w:val="宋体"/>
    <w:charset w:val="86"/>
    <w:family w:val="auto"/>
    <w:pitch w:val="default"/>
    <w:sig w:usb0="00000000" w:usb1="00000000" w:usb2="00000010" w:usb3="00000000" w:csb0="00040001" w:csb1="00000000"/>
  </w:font>
  <w:font w:name="TimesNewRomanPSMT">
    <w:altName w:val="Times New Roman"/>
    <w:charset w:val="86"/>
    <w:family w:val="auto"/>
    <w:pitch w:val="default"/>
    <w:sig w:usb0="00000000" w:usb1="00000000" w:usb2="00000010" w:usb3="00000000" w:csb0="00040000" w:csb1="00000000"/>
  </w:font>
  <w:font w:name="MS-UIGothic,Bold">
    <w:altName w:val="Malgun Gothic"/>
    <w:charset w:val="81"/>
    <w:family w:val="auto"/>
    <w:pitch w:val="default"/>
    <w:sig w:usb0="00000000" w:usb1="0000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032" w:rsidRDefault="001D2032">
      <w:r>
        <w:separator/>
      </w:r>
    </w:p>
  </w:footnote>
  <w:footnote w:type="continuationSeparator" w:id="0">
    <w:p w:rsidR="001D2032" w:rsidRDefault="001D2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EF3" w:rsidRDefault="00A86EF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B9A87"/>
    <w:multiLevelType w:val="singleLevel"/>
    <w:tmpl w:val="45DB9A87"/>
    <w:lvl w:ilvl="0">
      <w:start w:val="3"/>
      <w:numFmt w:val="chineseCounting"/>
      <w:suff w:val="nothing"/>
      <w:lvlText w:val="（%1）"/>
      <w:lvlJc w:val="left"/>
      <w:rPr>
        <w:rFonts w:hint="eastAsia"/>
      </w:rPr>
    </w:lvl>
  </w:abstractNum>
  <w:abstractNum w:abstractNumId="1">
    <w:nsid w:val="5F222FFA"/>
    <w:multiLevelType w:val="singleLevel"/>
    <w:tmpl w:val="5F222FFA"/>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jEsImhkaWQiOiI4YTMxYTIxZjI1ZTJiZTJiYTg3NTg4ZWIyOGVjMDEyYyIsInVzZXJDb3VudCI6Mn0="/>
  </w:docVars>
  <w:rsids>
    <w:rsidRoot w:val="00172A27"/>
    <w:rsid w:val="000031F7"/>
    <w:rsid w:val="00014862"/>
    <w:rsid w:val="00044429"/>
    <w:rsid w:val="00083FDD"/>
    <w:rsid w:val="00172A27"/>
    <w:rsid w:val="0019528D"/>
    <w:rsid w:val="001C447C"/>
    <w:rsid w:val="001D2032"/>
    <w:rsid w:val="00214685"/>
    <w:rsid w:val="00282DF8"/>
    <w:rsid w:val="002F63F3"/>
    <w:rsid w:val="0031348C"/>
    <w:rsid w:val="003B10E9"/>
    <w:rsid w:val="003B32DD"/>
    <w:rsid w:val="003E1D60"/>
    <w:rsid w:val="00426E64"/>
    <w:rsid w:val="004550B9"/>
    <w:rsid w:val="004B1D17"/>
    <w:rsid w:val="0051575E"/>
    <w:rsid w:val="005B2633"/>
    <w:rsid w:val="00632C0F"/>
    <w:rsid w:val="00643B9F"/>
    <w:rsid w:val="00663586"/>
    <w:rsid w:val="00677916"/>
    <w:rsid w:val="00762D60"/>
    <w:rsid w:val="00785280"/>
    <w:rsid w:val="007A25BC"/>
    <w:rsid w:val="007B4464"/>
    <w:rsid w:val="008239F9"/>
    <w:rsid w:val="00896712"/>
    <w:rsid w:val="008E5668"/>
    <w:rsid w:val="009117C7"/>
    <w:rsid w:val="009718A8"/>
    <w:rsid w:val="009810FB"/>
    <w:rsid w:val="00A63A57"/>
    <w:rsid w:val="00A66109"/>
    <w:rsid w:val="00A86EF3"/>
    <w:rsid w:val="00AA2517"/>
    <w:rsid w:val="00B14488"/>
    <w:rsid w:val="00B31C29"/>
    <w:rsid w:val="00B760E6"/>
    <w:rsid w:val="00B86E38"/>
    <w:rsid w:val="00C21492"/>
    <w:rsid w:val="00C418F5"/>
    <w:rsid w:val="00C73FD3"/>
    <w:rsid w:val="00CE4C2D"/>
    <w:rsid w:val="00CE755E"/>
    <w:rsid w:val="00D264B9"/>
    <w:rsid w:val="00DA0B17"/>
    <w:rsid w:val="00DF42C4"/>
    <w:rsid w:val="00DF688D"/>
    <w:rsid w:val="00E110A2"/>
    <w:rsid w:val="00E669B9"/>
    <w:rsid w:val="00E86E79"/>
    <w:rsid w:val="00F17903"/>
    <w:rsid w:val="00F71859"/>
    <w:rsid w:val="00FC3F68"/>
    <w:rsid w:val="018E53BB"/>
    <w:rsid w:val="01B752BF"/>
    <w:rsid w:val="02F2691F"/>
    <w:rsid w:val="05273E55"/>
    <w:rsid w:val="06EB1AB6"/>
    <w:rsid w:val="099D6B31"/>
    <w:rsid w:val="09FD66D9"/>
    <w:rsid w:val="10B242CF"/>
    <w:rsid w:val="11F4604E"/>
    <w:rsid w:val="136D16FB"/>
    <w:rsid w:val="13AA21BF"/>
    <w:rsid w:val="1A3D2C72"/>
    <w:rsid w:val="216937C4"/>
    <w:rsid w:val="21775132"/>
    <w:rsid w:val="29525CC1"/>
    <w:rsid w:val="298605CB"/>
    <w:rsid w:val="2CEF036C"/>
    <w:rsid w:val="308B0D67"/>
    <w:rsid w:val="32A31C4C"/>
    <w:rsid w:val="32B53CA7"/>
    <w:rsid w:val="33CD2241"/>
    <w:rsid w:val="34967CFD"/>
    <w:rsid w:val="35DC160B"/>
    <w:rsid w:val="39C2416B"/>
    <w:rsid w:val="3B744E3E"/>
    <w:rsid w:val="3DC91A1B"/>
    <w:rsid w:val="3F235BB1"/>
    <w:rsid w:val="3F663581"/>
    <w:rsid w:val="42A44BF6"/>
    <w:rsid w:val="4571549B"/>
    <w:rsid w:val="471274FD"/>
    <w:rsid w:val="49717ADD"/>
    <w:rsid w:val="4A51609B"/>
    <w:rsid w:val="4C194D3B"/>
    <w:rsid w:val="4D304C6C"/>
    <w:rsid w:val="4F2A6A41"/>
    <w:rsid w:val="500373A2"/>
    <w:rsid w:val="53AD746D"/>
    <w:rsid w:val="561769D4"/>
    <w:rsid w:val="58D844B0"/>
    <w:rsid w:val="59FD5DAF"/>
    <w:rsid w:val="5F4A1A8C"/>
    <w:rsid w:val="60075621"/>
    <w:rsid w:val="602001C2"/>
    <w:rsid w:val="60CE32E1"/>
    <w:rsid w:val="629331D7"/>
    <w:rsid w:val="64C00985"/>
    <w:rsid w:val="65225D26"/>
    <w:rsid w:val="65DB5CBA"/>
    <w:rsid w:val="674E6C15"/>
    <w:rsid w:val="67636EEB"/>
    <w:rsid w:val="697609B2"/>
    <w:rsid w:val="69F4671F"/>
    <w:rsid w:val="6CBF282C"/>
    <w:rsid w:val="73335BEE"/>
    <w:rsid w:val="734B3BFA"/>
    <w:rsid w:val="73753308"/>
    <w:rsid w:val="78726082"/>
    <w:rsid w:val="79442C5B"/>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18"/>
      <w:szCs w:val="18"/>
    </w:rPr>
  </w:style>
  <w:style w:type="table" w:styleId="a7">
    <w:name w:val="Table Grid"/>
    <w:qFormat/>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annotation reference"/>
    <w:basedOn w:val="a0"/>
    <w:uiPriority w:val="99"/>
    <w:semiHidden/>
    <w:unhideWhenUsed/>
    <w:qFormat/>
    <w:rPr>
      <w:sz w:val="21"/>
      <w:szCs w:val="21"/>
    </w:rPr>
  </w:style>
  <w:style w:type="character" w:customStyle="1" w:styleId="Char">
    <w:name w:val="批注框文本 Char"/>
    <w:basedOn w:val="a0"/>
    <w:link w:val="a4"/>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18"/>
      <w:szCs w:val="18"/>
    </w:rPr>
  </w:style>
  <w:style w:type="table" w:styleId="a7">
    <w:name w:val="Table Grid"/>
    <w:qFormat/>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annotation reference"/>
    <w:basedOn w:val="a0"/>
    <w:uiPriority w:val="99"/>
    <w:semiHidden/>
    <w:unhideWhenUsed/>
    <w:qFormat/>
    <w:rPr>
      <w:sz w:val="21"/>
      <w:szCs w:val="21"/>
    </w:rPr>
  </w:style>
  <w:style w:type="character" w:customStyle="1" w:styleId="Char">
    <w:name w:val="批注框文本 Char"/>
    <w:basedOn w:val="a0"/>
    <w:link w:val="a4"/>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chart" Target="charts/chart5.xml"/><Relationship Id="rId21" Type="http://schemas.openxmlformats.org/officeDocument/2006/relationships/footer" Target="footer2.xml"/><Relationship Id="rId34" Type="http://schemas.openxmlformats.org/officeDocument/2006/relationships/image" Target="media/image12.svg"/><Relationship Id="rId42" Type="http://schemas.openxmlformats.org/officeDocument/2006/relationships/image" Target="media/image15.sv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2.xml"/><Relationship Id="rId29" Type="http://schemas.openxmlformats.org/officeDocument/2006/relationships/image" Target="media/image8.svg"/><Relationship Id="rId41"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eader" Target="header3.xml"/><Relationship Id="rId32" Type="http://schemas.openxmlformats.org/officeDocument/2006/relationships/header" Target="header5.xml"/><Relationship Id="rId37" Type="http://schemas.openxmlformats.org/officeDocument/2006/relationships/chart" Target="charts/chart3.xml"/><Relationship Id="rId40" Type="http://schemas.openxmlformats.org/officeDocument/2006/relationships/image" Target="media/image9.emf"/><Relationship Id="rId5" Type="http://schemas.microsoft.com/office/2007/relationships/stylesWithEffects" Target="stylesWithEffects.xml"/><Relationship Id="rId15" Type="http://schemas.openxmlformats.org/officeDocument/2006/relationships/image" Target="media/image2.jpeg"/><Relationship Id="rId23" Type="http://schemas.openxmlformats.org/officeDocument/2006/relationships/image" Target="media/image6.svg"/><Relationship Id="rId28" Type="http://schemas.openxmlformats.org/officeDocument/2006/relationships/image" Target="media/image6.png"/><Relationship Id="rId36" Type="http://schemas.openxmlformats.org/officeDocument/2006/relationships/chart" Target="charts/chart2.xml"/><Relationship Id="rId10" Type="http://schemas.openxmlformats.org/officeDocument/2006/relationships/image" Target="media/image1.png"/><Relationship Id="rId19" Type="http://schemas.openxmlformats.org/officeDocument/2006/relationships/footer" Target="footer1.xml"/><Relationship Id="rId31" Type="http://schemas.openxmlformats.org/officeDocument/2006/relationships/image" Target="media/image10.svg"/><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svg"/><Relationship Id="rId22" Type="http://schemas.openxmlformats.org/officeDocument/2006/relationships/image" Target="media/image5.png"/><Relationship Id="rId27" Type="http://schemas.openxmlformats.org/officeDocument/2006/relationships/footer" Target="footer4.xml"/><Relationship Id="rId30" Type="http://schemas.openxmlformats.org/officeDocument/2006/relationships/image" Target="media/image7.png"/><Relationship Id="rId35" Type="http://schemas.openxmlformats.org/officeDocument/2006/relationships/chart" Target="charts/chart1.xm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 Id="rId17" Type="http://schemas.openxmlformats.org/officeDocument/2006/relationships/image" Target="media/image4.jpeg"/><Relationship Id="rId25" Type="http://schemas.openxmlformats.org/officeDocument/2006/relationships/footer" Target="footer3.xml"/><Relationship Id="rId33" Type="http://schemas.openxmlformats.org/officeDocument/2006/relationships/image" Target="media/image8.png"/><Relationship Id="rId38"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___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收入</c:v>
                </c:pt>
              </c:strCache>
            </c:strRef>
          </c:tx>
          <c:invertIfNegative val="0"/>
          <c:cat>
            <c:strRef>
              <c:f>Sheet1!$A$2:$A$3</c:f>
              <c:strCache>
                <c:ptCount val="2"/>
                <c:pt idx="0">
                  <c:v>2020年收支</c:v>
                </c:pt>
                <c:pt idx="1">
                  <c:v>2021年收支</c:v>
                </c:pt>
              </c:strCache>
            </c:strRef>
          </c:cat>
          <c:val>
            <c:numRef>
              <c:f>Sheet1!$B$2:$B$3</c:f>
              <c:numCache>
                <c:formatCode>General</c:formatCode>
                <c:ptCount val="2"/>
                <c:pt idx="0">
                  <c:v>1346.7</c:v>
                </c:pt>
                <c:pt idx="1">
                  <c:v>1442.15</c:v>
                </c:pt>
              </c:numCache>
            </c:numRef>
          </c:val>
        </c:ser>
        <c:ser>
          <c:idx val="1"/>
          <c:order val="1"/>
          <c:tx>
            <c:strRef>
              <c:f>Sheet1!$C$1</c:f>
              <c:strCache>
                <c:ptCount val="1"/>
                <c:pt idx="0">
                  <c:v>支出</c:v>
                </c:pt>
              </c:strCache>
            </c:strRef>
          </c:tx>
          <c:invertIfNegative val="0"/>
          <c:cat>
            <c:strRef>
              <c:f>Sheet1!$A$2:$A$3</c:f>
              <c:strCache>
                <c:ptCount val="2"/>
                <c:pt idx="0">
                  <c:v>2020年收支</c:v>
                </c:pt>
                <c:pt idx="1">
                  <c:v>2021年收支</c:v>
                </c:pt>
              </c:strCache>
            </c:strRef>
          </c:cat>
          <c:val>
            <c:numRef>
              <c:f>Sheet1!$C$2:$C$3</c:f>
              <c:numCache>
                <c:formatCode>General</c:formatCode>
                <c:ptCount val="2"/>
                <c:pt idx="0">
                  <c:v>1346.7</c:v>
                </c:pt>
                <c:pt idx="1">
                  <c:v>1442.15</c:v>
                </c:pt>
              </c:numCache>
            </c:numRef>
          </c:val>
        </c:ser>
        <c:dLbls>
          <c:showLegendKey val="0"/>
          <c:showVal val="0"/>
          <c:showCatName val="0"/>
          <c:showSerName val="0"/>
          <c:showPercent val="0"/>
          <c:showBubbleSize val="0"/>
        </c:dLbls>
        <c:gapWidth val="150"/>
        <c:axId val="88155136"/>
        <c:axId val="165844032"/>
      </c:barChart>
      <c:catAx>
        <c:axId val="88155136"/>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5844032"/>
        <c:crosses val="autoZero"/>
        <c:auto val="1"/>
        <c:lblAlgn val="ctr"/>
        <c:lblOffset val="100"/>
        <c:noMultiLvlLbl val="0"/>
      </c:catAx>
      <c:valAx>
        <c:axId val="16584403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88155136"/>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autoTitleDeleted val="0"/>
    <c:plotArea>
      <c:layout/>
      <c:pieChart>
        <c:varyColors val="1"/>
        <c:ser>
          <c:idx val="0"/>
          <c:order val="0"/>
          <c:tx>
            <c:strRef>
              <c:f>Sheet1!$B$1</c:f>
              <c:strCache>
                <c:ptCount val="1"/>
                <c:pt idx="0">
                  <c:v>支出</c:v>
                </c:pt>
              </c:strCache>
            </c:strRef>
          </c:tx>
          <c:dPt>
            <c:idx val="0"/>
            <c:bubble3D val="0"/>
          </c:dPt>
          <c:dPt>
            <c:idx val="1"/>
            <c:bubble3D val="0"/>
          </c:dPt>
          <c:cat>
            <c:strRef>
              <c:f>Sheet1!$A$2:$A$3</c:f>
              <c:strCache>
                <c:ptCount val="2"/>
                <c:pt idx="0">
                  <c:v>基本支出</c:v>
                </c:pt>
                <c:pt idx="1">
                  <c:v>项目支出</c:v>
                </c:pt>
              </c:strCache>
            </c:strRef>
          </c:cat>
          <c:val>
            <c:numRef>
              <c:f>Sheet1!$B$2:$B$3</c:f>
              <c:numCache>
                <c:formatCode>General</c:formatCode>
                <c:ptCount val="2"/>
                <c:pt idx="0">
                  <c:v>1410.63</c:v>
                </c:pt>
                <c:pt idx="1">
                  <c:v>31.52</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2020年</c:v>
                </c:pt>
              </c:strCache>
            </c:strRef>
          </c:tx>
          <c:invertIfNegative val="0"/>
          <c:cat>
            <c:strRef>
              <c:f>Sheet1!$A$2:$A$4</c:f>
              <c:strCache>
                <c:ptCount val="3"/>
                <c:pt idx="0">
                  <c:v>一般公共预算财政拨款</c:v>
                </c:pt>
                <c:pt idx="1">
                  <c:v>政府性基金预算财政拨款</c:v>
                </c:pt>
                <c:pt idx="2">
                  <c:v>国有资本经营预算财政拨款</c:v>
                </c:pt>
              </c:strCache>
            </c:strRef>
          </c:cat>
          <c:val>
            <c:numRef>
              <c:f>Sheet1!$B$2:$B$4</c:f>
              <c:numCache>
                <c:formatCode>General</c:formatCode>
                <c:ptCount val="3"/>
                <c:pt idx="0">
                  <c:v>1346.7</c:v>
                </c:pt>
                <c:pt idx="1">
                  <c:v>0</c:v>
                </c:pt>
                <c:pt idx="2">
                  <c:v>0</c:v>
                </c:pt>
              </c:numCache>
            </c:numRef>
          </c:val>
        </c:ser>
        <c:ser>
          <c:idx val="1"/>
          <c:order val="1"/>
          <c:tx>
            <c:strRef>
              <c:f>Sheet1!$C$1</c:f>
              <c:strCache>
                <c:ptCount val="1"/>
                <c:pt idx="0">
                  <c:v>2021年</c:v>
                </c:pt>
              </c:strCache>
            </c:strRef>
          </c:tx>
          <c:invertIfNegative val="0"/>
          <c:cat>
            <c:strRef>
              <c:f>Sheet1!$A$2:$A$4</c:f>
              <c:strCache>
                <c:ptCount val="3"/>
                <c:pt idx="0">
                  <c:v>一般公共预算财政拨款</c:v>
                </c:pt>
                <c:pt idx="1">
                  <c:v>政府性基金预算财政拨款</c:v>
                </c:pt>
                <c:pt idx="2">
                  <c:v>国有资本经营预算财政拨款</c:v>
                </c:pt>
              </c:strCache>
            </c:strRef>
          </c:cat>
          <c:val>
            <c:numRef>
              <c:f>Sheet1!$C$2:$C$4</c:f>
              <c:numCache>
                <c:formatCode>General</c:formatCode>
                <c:ptCount val="3"/>
                <c:pt idx="0">
                  <c:v>1442.15</c:v>
                </c:pt>
                <c:pt idx="1">
                  <c:v>0</c:v>
                </c:pt>
                <c:pt idx="2">
                  <c:v>0</c:v>
                </c:pt>
              </c:numCache>
            </c:numRef>
          </c:val>
        </c:ser>
        <c:dLbls>
          <c:showLegendKey val="0"/>
          <c:showVal val="0"/>
          <c:showCatName val="0"/>
          <c:showSerName val="0"/>
          <c:showPercent val="0"/>
          <c:showBubbleSize val="0"/>
        </c:dLbls>
        <c:gapWidth val="150"/>
        <c:axId val="88162304"/>
        <c:axId val="165842304"/>
      </c:barChart>
      <c:catAx>
        <c:axId val="88162304"/>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5842304"/>
        <c:crosses val="autoZero"/>
        <c:auto val="1"/>
        <c:lblAlgn val="ctr"/>
        <c:lblOffset val="100"/>
        <c:noMultiLvlLbl val="0"/>
      </c:catAx>
      <c:valAx>
        <c:axId val="165842304"/>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88162304"/>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年初预算</c:v>
                </c:pt>
              </c:strCache>
            </c:strRef>
          </c:tx>
          <c:invertIfNegative val="0"/>
          <c:cat>
            <c:strRef>
              <c:f>Sheet1!$A$2:$A$4</c:f>
              <c:strCache>
                <c:ptCount val="3"/>
                <c:pt idx="0">
                  <c:v>一般公共预算财政拨款</c:v>
                </c:pt>
                <c:pt idx="1">
                  <c:v>政府性基金预算财政拨款</c:v>
                </c:pt>
                <c:pt idx="2">
                  <c:v>国有资本经营预算财政拨款</c:v>
                </c:pt>
              </c:strCache>
            </c:strRef>
          </c:cat>
          <c:val>
            <c:numRef>
              <c:f>Sheet1!$B$2:$B$4</c:f>
              <c:numCache>
                <c:formatCode>General</c:formatCode>
                <c:ptCount val="3"/>
                <c:pt idx="0">
                  <c:v>1422.15</c:v>
                </c:pt>
                <c:pt idx="1">
                  <c:v>0</c:v>
                </c:pt>
                <c:pt idx="2">
                  <c:v>0</c:v>
                </c:pt>
              </c:numCache>
            </c:numRef>
          </c:val>
        </c:ser>
        <c:ser>
          <c:idx val="1"/>
          <c:order val="1"/>
          <c:tx>
            <c:strRef>
              <c:f>Sheet1!$C$1</c:f>
              <c:strCache>
                <c:ptCount val="1"/>
                <c:pt idx="0">
                  <c:v>实际拨付</c:v>
                </c:pt>
              </c:strCache>
            </c:strRef>
          </c:tx>
          <c:invertIfNegative val="0"/>
          <c:cat>
            <c:strRef>
              <c:f>Sheet1!$A$2:$A$4</c:f>
              <c:strCache>
                <c:ptCount val="3"/>
                <c:pt idx="0">
                  <c:v>一般公共预算财政拨款</c:v>
                </c:pt>
                <c:pt idx="1">
                  <c:v>政府性基金预算财政拨款</c:v>
                </c:pt>
                <c:pt idx="2">
                  <c:v>国有资本经营预算财政拨款</c:v>
                </c:pt>
              </c:strCache>
            </c:strRef>
          </c:cat>
          <c:val>
            <c:numRef>
              <c:f>Sheet1!$C$2:$C$4</c:f>
              <c:numCache>
                <c:formatCode>General</c:formatCode>
                <c:ptCount val="3"/>
                <c:pt idx="0">
                  <c:v>1442.15</c:v>
                </c:pt>
                <c:pt idx="1">
                  <c:v>0</c:v>
                </c:pt>
                <c:pt idx="2">
                  <c:v>0</c:v>
                </c:pt>
              </c:numCache>
            </c:numRef>
          </c:val>
        </c:ser>
        <c:dLbls>
          <c:showLegendKey val="0"/>
          <c:showVal val="0"/>
          <c:showCatName val="0"/>
          <c:showSerName val="0"/>
          <c:showPercent val="0"/>
          <c:showBubbleSize val="0"/>
        </c:dLbls>
        <c:gapWidth val="150"/>
        <c:axId val="88164864"/>
        <c:axId val="165845184"/>
      </c:barChart>
      <c:catAx>
        <c:axId val="88164864"/>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65845184"/>
        <c:crosses val="autoZero"/>
        <c:auto val="1"/>
        <c:lblAlgn val="ctr"/>
        <c:lblOffset val="100"/>
        <c:noMultiLvlLbl val="0"/>
      </c:catAx>
      <c:valAx>
        <c:axId val="165845184"/>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88164864"/>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endParaRPr lang="zh-CN"/>
        </a:p>
      </c:txPr>
    </c:title>
    <c:autoTitleDeleted val="0"/>
    <c:plotArea>
      <c:layout/>
      <c:pieChart>
        <c:varyColors val="1"/>
        <c:ser>
          <c:idx val="0"/>
          <c:order val="0"/>
          <c:tx>
            <c:strRef>
              <c:f>Sheet1!$B$1</c:f>
              <c:strCache>
                <c:ptCount val="1"/>
                <c:pt idx="0">
                  <c:v>财政拨款支出</c:v>
                </c:pt>
              </c:strCache>
            </c:strRef>
          </c:tx>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人员经费</c:v>
                </c:pt>
                <c:pt idx="1">
                  <c:v>公用经费</c:v>
                </c:pt>
              </c:strCache>
            </c:strRef>
          </c:cat>
          <c:val>
            <c:numRef>
              <c:f>Sheet1!$B$2:$B$3</c:f>
              <c:numCache>
                <c:formatCode>General</c:formatCode>
                <c:ptCount val="2"/>
                <c:pt idx="0">
                  <c:v>1098.95</c:v>
                </c:pt>
                <c:pt idx="1">
                  <c:v>274.02999999999997</c:v>
                </c:pt>
              </c:numCache>
            </c:numRef>
          </c:val>
        </c:ser>
        <c:dLbls>
          <c:showLegendKey val="0"/>
          <c:showVal val="0"/>
          <c:showCatName val="0"/>
          <c:showSerName val="0"/>
          <c:showPercent val="1"/>
          <c:showBubbleSize val="0"/>
          <c:showLeaderLines val="1"/>
        </c:dLbls>
        <c:firstSliceAng val="0"/>
      </c:pieChart>
    </c:plotArea>
    <c:legend>
      <c:legendPos val="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0.35692</cdr:x>
      <cdr:y>0.14555</cdr:y>
    </cdr:from>
    <cdr:to>
      <cdr:x>0.40094</cdr:x>
      <cdr:y>0.16064</cdr:y>
    </cdr:to>
    <cdr:cxnSp macro="">
      <cdr:nvCxnSpPr>
        <cdr:cNvPr id="2" name="直接箭头连接符 1"/>
        <cdr:cNvCxnSpPr/>
      </cdr:nvCxnSpPr>
      <cdr:spPr>
        <a:xfrm xmlns:a="http://schemas.openxmlformats.org/drawingml/2006/main">
          <a:off x="1958197" y="465826"/>
          <a:ext cx="241539" cy="48284"/>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07EFD4-E03B-4068-AA4E-F3B05D0F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736</Words>
  <Characters>4199</Characters>
  <Application>Microsoft Office Word</Application>
  <DocSecurity>0</DocSecurity>
  <Lines>34</Lines>
  <Paragraphs>9</Paragraphs>
  <ScaleCrop>false</ScaleCrop>
  <Company>神州网信技术有限公司</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王明新TIAD</dc:creator>
  <cp:lastModifiedBy>xs</cp:lastModifiedBy>
  <cp:revision>16</cp:revision>
  <dcterms:created xsi:type="dcterms:W3CDTF">2022-08-11T02:40:00Z</dcterms:created>
  <dcterms:modified xsi:type="dcterms:W3CDTF">2023-07-26T01:56:00Z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TemplateUUID">
    <vt:lpwstr>v1.0_mb_S7ajbG3IpAnL1wSthNCxfw==</vt:lpwstr>
  </property>
  <property fmtid="{D5CDD505-2E9C-101B-9397-08002B2CF9AE}" pid="4" name="ICV">
    <vt:lpwstr>1515CEFC20754C3380B382230295B456</vt:lpwstr>
  </property>
</Properties>
</file>