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14.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360025</w:t>
                            </w:r>
                          </w:p>
                          <w:p>
                            <w:pPr>
                              <w:spacing w:line="600" w:lineRule="auto"/>
                              <w:jc w:val="left"/>
                              <w:rPr>
                                <w:rFonts w:hint="eastAsia"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eastAsia="zh-CN"/>
                              </w:rPr>
                              <w:t>石家庄市藁城区育才幼儿园</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360025</w:t>
                      </w:r>
                    </w:p>
                    <w:p>
                      <w:pPr>
                        <w:spacing w:line="600" w:lineRule="auto"/>
                        <w:jc w:val="left"/>
                        <w:rPr>
                          <w:rFonts w:hint="eastAsia"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eastAsia="zh-CN"/>
                        </w:rPr>
                        <w:t>石家庄市藁城区育才幼儿园</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rPr>
                                <w:t>部门决算公开文本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rPr>
                          <w:t>部门决算公开文本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tabs>
          <w:tab w:val="left" w:pos="2728"/>
        </w:tabs>
        <w:jc w:val="center"/>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eastAsia="zh-CN"/>
        </w:rPr>
        <w:t>部门</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eastAsia="zh-CN"/>
        </w:rPr>
        <w:t>部门</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eastAsia="zh-CN"/>
        </w:rPr>
        <w:t>部门</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eastAsia="zh-CN"/>
        </w:rPr>
        <w:t>部门</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444444"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444444"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444444"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444444"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444444"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444444"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444444"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444444"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部门</w:t>
      </w:r>
      <w:r>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w:t>
      </w:r>
      <w:r>
        <w:rPr>
          <w:rFonts w:hint="eastAsia" w:ascii="黑体" w:eastAsia="黑体" w:cs="黑体"/>
          <w:b w:val="0"/>
          <w:bCs w:val="0"/>
          <w:kern w:val="0"/>
          <w:sz w:val="32"/>
          <w:szCs w:val="32"/>
          <w:lang w:eastAsia="zh-CN"/>
        </w:rPr>
        <w:t>部门</w:t>
      </w:r>
      <w:r>
        <w:rPr>
          <w:rFonts w:hint="eastAsia" w:ascii="黑体" w:eastAsia="黑体" w:cs="黑体"/>
          <w:b w:val="0"/>
          <w:bCs w:val="0"/>
          <w:kern w:val="0"/>
          <w:sz w:val="32"/>
          <w:szCs w:val="32"/>
        </w:rPr>
        <w:t>职责</w:t>
      </w:r>
    </w:p>
    <w:p>
      <w:pPr>
        <w:widowControl/>
        <w:spacing w:line="580" w:lineRule="exact"/>
        <w:ind w:firstLine="640" w:firstLineChars="200"/>
        <w:rPr>
          <w:rFonts w:hint="eastAsia" w:ascii="仿宋_GB2312" w:hAnsi="Calibri" w:eastAsia="仿宋_GB2312" w:cs="ArialUnicodeMS"/>
          <w:kern w:val="0"/>
          <w:sz w:val="32"/>
          <w:szCs w:val="32"/>
          <w:highlight w:val="none"/>
          <w:lang w:val="en-US" w:eastAsia="zh-CN"/>
        </w:rPr>
      </w:pPr>
      <w:r>
        <w:rPr>
          <w:rFonts w:hint="eastAsia" w:ascii="仿宋_GB2312" w:hAnsi="Calibri" w:eastAsia="仿宋_GB2312" w:cs="ArialUnicodeMS"/>
          <w:kern w:val="0"/>
          <w:sz w:val="32"/>
          <w:szCs w:val="32"/>
          <w:highlight w:val="none"/>
          <w:lang w:eastAsia="zh-CN"/>
        </w:rPr>
        <w:t>为学龄前儿童提供保育和教育服务。</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w:t>
      </w:r>
      <w:r>
        <w:rPr>
          <w:rFonts w:hint="eastAsia" w:ascii="仿宋_GB2312" w:hAnsi="Calibri" w:eastAsia="仿宋_GB2312" w:cs="ArialUnicodeMS"/>
          <w:kern w:val="0"/>
          <w:sz w:val="32"/>
          <w:szCs w:val="32"/>
          <w:lang w:eastAsia="zh-CN"/>
        </w:rPr>
        <w:t>单位</w:t>
      </w:r>
      <w:r>
        <w:rPr>
          <w:rFonts w:hint="eastAsia" w:ascii="仿宋_GB2312" w:hAnsi="Calibri" w:eastAsia="仿宋_GB2312" w:cs="ArialUnicodeMS"/>
          <w:kern w:val="0"/>
          <w:sz w:val="32"/>
          <w:szCs w:val="32"/>
        </w:rPr>
        <w:t>决算汇编范围的独立核算单位（以下简称“单位”）共</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个，具体情况如下：</w:t>
      </w:r>
    </w:p>
    <w:tbl>
      <w:tblPr>
        <w:tblStyle w:val="7"/>
        <w:tblpPr w:leftFromText="180" w:rightFromText="180" w:vertAnchor="text" w:horzAnchor="page" w:tblpX="1599" w:tblpY="412"/>
        <w:tblOverlap w:val="never"/>
        <w:tblW w:w="8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445"/>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44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152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85" w:type="dxa"/>
          </w:tcPr>
          <w:p>
            <w:pPr>
              <w:spacing w:line="560" w:lineRule="exact"/>
              <w:rPr>
                <w:rFonts w:hint="eastAsia" w:ascii="仿宋_GB2312" w:hAnsi="Calibri" w:eastAsia="仿宋_GB2312" w:cs="ArialUnicodeMS"/>
                <w:kern w:val="0"/>
                <w:sz w:val="28"/>
                <w:szCs w:val="28"/>
                <w:lang w:eastAsia="zh-CN"/>
              </w:rPr>
            </w:pPr>
            <w:r>
              <w:rPr>
                <w:rFonts w:hint="eastAsia" w:ascii="仿宋_GB2312" w:hAnsi="Calibri" w:eastAsia="仿宋_GB2312" w:cs="ArialUnicodeMS"/>
                <w:kern w:val="0"/>
                <w:sz w:val="28"/>
                <w:szCs w:val="28"/>
                <w:lang w:eastAsia="zh-CN"/>
              </w:rPr>
              <w:t>石家庄市藁城区育才幼儿园</w:t>
            </w:r>
          </w:p>
        </w:tc>
        <w:tc>
          <w:tcPr>
            <w:tcW w:w="244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财政补助事业单位</w:t>
            </w:r>
          </w:p>
        </w:tc>
        <w:tc>
          <w:tcPr>
            <w:tcW w:w="152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财政拨款</w:t>
            </w: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spacing w:after="160" w:line="580" w:lineRule="exact"/>
        <w:ind w:firstLine="880" w:firstLineChars="200"/>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760" w:firstLineChars="400"/>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760" w:firstLineChars="400"/>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760" w:firstLineChars="400"/>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280" w:firstLineChars="400"/>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333375</wp:posOffset>
            </wp:positionH>
            <wp:positionV relativeFrom="margin">
              <wp:posOffset>3214370</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1760" w:firstLineChars="400"/>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第二部分  2021年度</w:t>
      </w:r>
      <w:r>
        <w:rPr>
          <w:rFonts w:hint="eastAsia" w:ascii="黑体" w:hAnsi="黑体" w:eastAsia="黑体" w:cs="黑体"/>
          <w:color w:val="444444"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部门</w:t>
      </w:r>
      <w:r>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lang w:eastAsia="zh-CN"/>
        </w:rPr>
        <w:t>见附件</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黑体" w:hAnsi="黑体" w:eastAsia="黑体" w:cs="黑体"/>
                                <w:color w:val="444444"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444444"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444444"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黑体" w:hAnsi="黑体" w:eastAsia="黑体" w:cs="黑体"/>
                          <w:color w:val="444444"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444444"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444444"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w:t>
      </w:r>
      <w:r>
        <w:rPr>
          <w:rFonts w:hint="eastAsia" w:ascii="黑体" w:hAnsi="黑体" w:eastAsia="黑体" w:cs="黑体"/>
          <w:color w:val="444444"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部门</w:t>
      </w:r>
      <w:r>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sz w:val="32"/>
          <w:szCs w:val="32"/>
        </w:rPr>
      </w:pPr>
      <w:r>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2021年度收、支总计（含结转和结余）488.31万元。与2020年度决算相比，收支各减少</w:t>
      </w:r>
      <w:r>
        <w:rPr>
          <w:rFonts w:hint="eastAsia" w:ascii="仿宋_GB2312" w:hAnsi="Times New Roman" w:eastAsia="仿宋_GB2312" w:cs="DengXian-Regular"/>
          <w:sz w:val="32"/>
          <w:szCs w:val="32"/>
          <w:lang w:val="en-US" w:eastAsia="zh-CN"/>
        </w:rPr>
        <w:t>51.3</w:t>
      </w:r>
      <w:r>
        <w:rPr>
          <w:rFonts w:hint="eastAsia" w:ascii="仿宋_GB2312" w:hAnsi="Times New Roman" w:eastAsia="仿宋_GB2312" w:cs="DengXian-Regular"/>
          <w:sz w:val="32"/>
          <w:szCs w:val="32"/>
        </w:rPr>
        <w:t>万元，下降</w:t>
      </w:r>
      <w:r>
        <w:rPr>
          <w:rFonts w:hint="eastAsia" w:ascii="仿宋_GB2312" w:hAnsi="Times New Roman" w:eastAsia="仿宋_GB2312" w:cs="DengXian-Regular"/>
          <w:sz w:val="32"/>
          <w:szCs w:val="32"/>
          <w:lang w:val="en-US" w:eastAsia="zh-CN"/>
        </w:rPr>
        <w:t>9.51</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eastAsia="zh-CN"/>
        </w:rPr>
        <w:t>人员减少</w:t>
      </w:r>
      <w:r>
        <w:rPr>
          <w:rFonts w:hint="eastAsia" w:ascii="仿宋_GB2312" w:hAnsi="Times New Roman" w:eastAsia="仿宋_GB2312" w:cs="DengXian-Regular"/>
          <w:sz w:val="32"/>
          <w:szCs w:val="32"/>
          <w:lang w:val="en-US" w:eastAsia="zh-CN"/>
        </w:rPr>
        <w:t>2人且</w:t>
      </w:r>
      <w:r>
        <w:rPr>
          <w:rFonts w:hint="eastAsia" w:ascii="仿宋_GB2312" w:hAnsi="Times New Roman" w:eastAsia="仿宋_GB2312" w:cs="DengXian-Regular"/>
          <w:sz w:val="32"/>
          <w:szCs w:val="32"/>
          <w:lang w:eastAsia="zh-CN"/>
        </w:rPr>
        <w:t>今年无项目收入</w:t>
      </w:r>
      <w:r>
        <w:rPr>
          <w:rFonts w:hint="eastAsia" w:ascii="仿宋_GB2312" w:hAnsi="Times New Roman" w:eastAsia="仿宋_GB2312" w:cs="DengXian-Regular"/>
          <w:sz w:val="32"/>
          <w:szCs w:val="32"/>
        </w:rPr>
        <w:t>。</w:t>
      </w:r>
    </w:p>
    <w:p>
      <w:pPr>
        <w:keepNext/>
        <w:keepLines/>
        <w:snapToGrid w:val="0"/>
        <w:spacing w:line="600" w:lineRule="exact"/>
        <w:ind w:firstLine="2240" w:firstLineChars="700"/>
        <w:jc w:val="both"/>
        <w:outlineLvl w:val="1"/>
        <w:rPr>
          <w:rFonts w:hint="eastAsia" w:ascii="仿宋_GB2312" w:hAnsi="Times New Roman" w:eastAsia="仿宋_GB2312" w:cs="Wingdings"/>
          <w:sz w:val="28"/>
          <w:szCs w:val="28"/>
        </w:rPr>
      </w:pPr>
      <w:r>
        <w:rPr>
          <w:rFonts w:hint="eastAsia" w:ascii="仿宋_GB2312" w:hAnsi="Times New Roman" w:eastAsia="仿宋_GB2312" w:cs="DengXian-Regular"/>
          <w:sz w:val="32"/>
          <w:szCs w:val="32"/>
          <w:highlight w:val="yellow"/>
          <w:lang w:eastAsia="zh-CN"/>
        </w:rPr>
        <w:drawing>
          <wp:anchor distT="0" distB="0" distL="114300" distR="114300" simplePos="0" relativeHeight="251673600" behindDoc="0" locked="0" layoutInCell="1" allowOverlap="1">
            <wp:simplePos x="0" y="0"/>
            <wp:positionH relativeFrom="column">
              <wp:posOffset>271145</wp:posOffset>
            </wp:positionH>
            <wp:positionV relativeFrom="paragraph">
              <wp:posOffset>162560</wp:posOffset>
            </wp:positionV>
            <wp:extent cx="5080000" cy="3810000"/>
            <wp:effectExtent l="4445" t="4445" r="20955" b="14605"/>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Pr>
          <w:rFonts w:hint="eastAsia" w:ascii="仿宋_GB2312" w:hAnsi="Times New Roman" w:eastAsia="仿宋_GB2312" w:cs="Wingdings"/>
          <w:sz w:val="28"/>
          <w:szCs w:val="28"/>
        </w:rPr>
        <w:t>图</w:t>
      </w:r>
      <w:r>
        <w:rPr>
          <w:rFonts w:hint="eastAsia" w:ascii="仿宋_GB2312" w:hAnsi="Times New Roman" w:eastAsia="仿宋_GB2312" w:cs="Wingdings"/>
          <w:sz w:val="28"/>
          <w:szCs w:val="28"/>
          <w:lang w:val="en-US" w:eastAsia="zh-CN"/>
        </w:rPr>
        <w:t>1</w:t>
      </w:r>
      <w:r>
        <w:rPr>
          <w:rFonts w:hint="eastAsia" w:ascii="仿宋_GB2312" w:hAnsi="Times New Roman" w:eastAsia="仿宋_GB2312" w:cs="Wingdings"/>
          <w:sz w:val="28"/>
          <w:szCs w:val="28"/>
        </w:rPr>
        <w:t>：</w:t>
      </w:r>
      <w:r>
        <w:rPr>
          <w:rFonts w:hint="eastAsia" w:ascii="仿宋_GB2312" w:hAnsi="Times New Roman" w:eastAsia="仿宋_GB2312" w:cs="Wingdings"/>
          <w:sz w:val="28"/>
          <w:szCs w:val="28"/>
          <w:lang w:val="en-US" w:eastAsia="zh-CN"/>
        </w:rPr>
        <w:t>2020年、2021年</w:t>
      </w:r>
      <w:r>
        <w:rPr>
          <w:rFonts w:hint="eastAsia" w:ascii="仿宋_GB2312" w:hAnsi="Times New Roman" w:eastAsia="仿宋_GB2312" w:cs="Wingdings"/>
          <w:sz w:val="28"/>
          <w:szCs w:val="28"/>
        </w:rPr>
        <w:t>收</w:t>
      </w:r>
      <w:r>
        <w:rPr>
          <w:rFonts w:hint="eastAsia" w:ascii="仿宋_GB2312" w:hAnsi="Times New Roman" w:eastAsia="仿宋_GB2312" w:cs="Wingdings"/>
          <w:sz w:val="28"/>
          <w:szCs w:val="28"/>
          <w:lang w:val="en-US" w:eastAsia="zh-CN"/>
        </w:rPr>
        <w:t>支对比</w:t>
      </w:r>
      <w:r>
        <w:rPr>
          <w:rFonts w:hint="eastAsia" w:ascii="仿宋_GB2312" w:hAnsi="Times New Roman" w:eastAsia="仿宋_GB2312" w:cs="Wingdings"/>
          <w:sz w:val="28"/>
          <w:szCs w:val="28"/>
        </w:rPr>
        <w:t>情况</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2021年度收入合计</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万元，其中：财政拨款收入</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%；事业收入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2021年度支出合计</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万元，其中：基本支出</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万元,比2020年度减少</w:t>
      </w:r>
      <w:r>
        <w:rPr>
          <w:rFonts w:hint="eastAsia" w:ascii="仿宋_GB2312" w:hAnsi="Times New Roman" w:eastAsia="仿宋_GB2312" w:cs="DengXian-Regular"/>
          <w:sz w:val="32"/>
          <w:szCs w:val="32"/>
          <w:lang w:val="en-US" w:eastAsia="zh-CN"/>
        </w:rPr>
        <w:t>51.3</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9.51</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主要是因为人员减少</w:t>
      </w:r>
      <w:r>
        <w:rPr>
          <w:rFonts w:hint="eastAsia" w:ascii="仿宋_GB2312" w:hAnsi="Times New Roman" w:eastAsia="仿宋_GB2312" w:cs="DengXian-Regular"/>
          <w:sz w:val="32"/>
          <w:szCs w:val="32"/>
          <w:lang w:val="en-US" w:eastAsia="zh-CN"/>
        </w:rPr>
        <w:t>2人且</w:t>
      </w:r>
      <w:r>
        <w:rPr>
          <w:rFonts w:hint="eastAsia" w:ascii="仿宋_GB2312" w:hAnsi="Times New Roman" w:eastAsia="仿宋_GB2312" w:cs="DengXian-Regular"/>
          <w:sz w:val="32"/>
          <w:szCs w:val="32"/>
          <w:lang w:eastAsia="zh-CN"/>
        </w:rPr>
        <w:t>今年无项目收入。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万元，减少</w:t>
      </w:r>
      <w:r>
        <w:rPr>
          <w:rFonts w:hint="eastAsia" w:ascii="仿宋_GB2312" w:hAnsi="Times New Roman" w:eastAsia="仿宋_GB2312" w:cs="DengXian-Regular"/>
          <w:sz w:val="32"/>
          <w:szCs w:val="32"/>
          <w:lang w:val="en-US" w:eastAsia="zh-CN"/>
        </w:rPr>
        <w:t>51.3</w:t>
      </w:r>
      <w:r>
        <w:rPr>
          <w:rFonts w:hint="eastAsia" w:ascii="仿宋_GB2312" w:hAnsi="Times New Roman" w:eastAsia="仿宋_GB2312" w:cs="DengXian-Regular"/>
          <w:sz w:val="32"/>
          <w:szCs w:val="32"/>
        </w:rPr>
        <w:t>万元，增长降低</w:t>
      </w:r>
      <w:r>
        <w:rPr>
          <w:rFonts w:hint="eastAsia" w:ascii="仿宋_GB2312" w:hAnsi="Times New Roman" w:eastAsia="仿宋_GB2312" w:cs="DengXian-Regular"/>
          <w:sz w:val="32"/>
          <w:szCs w:val="32"/>
          <w:lang w:val="en-US" w:eastAsia="zh-CN"/>
        </w:rPr>
        <w:t>9.51</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因为支出随收入减少而降低</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51.3</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9.51</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因为人员减少</w:t>
      </w:r>
      <w:r>
        <w:rPr>
          <w:rFonts w:hint="eastAsia" w:ascii="仿宋_GB2312" w:hAnsi="Times New Roman" w:eastAsia="仿宋_GB2312" w:cs="DengXian-Regular"/>
          <w:sz w:val="32"/>
          <w:szCs w:val="32"/>
          <w:lang w:val="en-US" w:eastAsia="zh-CN"/>
        </w:rPr>
        <w:t>2人且</w:t>
      </w:r>
      <w:r>
        <w:rPr>
          <w:rFonts w:hint="eastAsia" w:ascii="仿宋_GB2312" w:hAnsi="Times New Roman" w:eastAsia="仿宋_GB2312" w:cs="DengXian-Regular"/>
          <w:sz w:val="32"/>
          <w:szCs w:val="32"/>
          <w:lang w:eastAsia="zh-CN"/>
        </w:rPr>
        <w:t>今年无项目收入。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51.3</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9.51</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因为支出随收入减少而减少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highlight w:val="yellow"/>
          <w:lang w:eastAsia="zh-CN"/>
        </w:rPr>
        <w:drawing>
          <wp:anchor distT="0" distB="0" distL="114300" distR="114300" simplePos="0" relativeHeight="251674624" behindDoc="0" locked="0" layoutInCell="1" allowOverlap="1">
            <wp:simplePos x="0" y="0"/>
            <wp:positionH relativeFrom="column">
              <wp:posOffset>213360</wp:posOffset>
            </wp:positionH>
            <wp:positionV relativeFrom="paragraph">
              <wp:posOffset>1626235</wp:posOffset>
            </wp:positionV>
            <wp:extent cx="5080000" cy="3810000"/>
            <wp:effectExtent l="4445" t="4445" r="20955" b="14605"/>
            <wp:wrapTopAndBottom/>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560" w:firstLineChars="200"/>
        <w:jc w:val="center"/>
        <w:rPr>
          <w:rFonts w:hint="eastAsia" w:ascii="仿宋_GB2312" w:hAnsi="Times New Roman" w:eastAsia="仿宋_GB2312" w:cs="DengXian-Regular"/>
          <w:sz w:val="32"/>
          <w:szCs w:val="32"/>
        </w:rPr>
      </w:pPr>
      <w:r>
        <w:rPr>
          <w:rFonts w:hint="eastAsia" w:ascii="仿宋_GB2312" w:hAnsi="Times New Roman" w:eastAsia="仿宋_GB2312" w:cs="Wingdings"/>
          <w:sz w:val="28"/>
          <w:szCs w:val="28"/>
        </w:rPr>
        <w:t>图</w:t>
      </w:r>
      <w:r>
        <w:rPr>
          <w:rFonts w:hint="eastAsia" w:ascii="仿宋_GB2312" w:hAnsi="Times New Roman" w:eastAsia="仿宋_GB2312" w:cs="Wingdings"/>
          <w:sz w:val="28"/>
          <w:szCs w:val="28"/>
          <w:lang w:val="en-US" w:eastAsia="zh-CN"/>
        </w:rPr>
        <w:t>2</w:t>
      </w:r>
      <w:r>
        <w:rPr>
          <w:rFonts w:hint="eastAsia" w:ascii="仿宋_GB2312" w:hAnsi="Times New Roman" w:eastAsia="仿宋_GB2312" w:cs="Wingdings"/>
          <w:sz w:val="28"/>
          <w:szCs w:val="28"/>
        </w:rPr>
        <w:t>：</w:t>
      </w:r>
      <w:r>
        <w:rPr>
          <w:rFonts w:hint="eastAsia" w:ascii="仿宋_GB2312" w:hAnsi="Times New Roman" w:eastAsia="仿宋_GB2312" w:cs="Wingdings"/>
          <w:sz w:val="28"/>
          <w:szCs w:val="28"/>
          <w:lang w:val="en-US" w:eastAsia="zh-CN"/>
        </w:rPr>
        <w:t>2020年、2021年财政拨款收支对比</w:t>
      </w:r>
      <w:r>
        <w:rPr>
          <w:rFonts w:hint="eastAsia" w:ascii="仿宋_GB2312" w:hAnsi="Times New Roman" w:eastAsia="仿宋_GB2312" w:cs="Wingdings"/>
          <w:sz w:val="28"/>
          <w:szCs w:val="28"/>
        </w:rPr>
        <w:t>情况</w:t>
      </w: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94.79</w:t>
      </w:r>
      <w:r>
        <w:rPr>
          <w:rFonts w:hint="eastAsia" w:ascii="仿宋_GB2312" w:hAnsi="Times New Roman" w:eastAsia="仿宋_GB2312" w:cs="DengXian-Regular"/>
          <w:sz w:val="32"/>
          <w:szCs w:val="32"/>
        </w:rPr>
        <w:t>%,比年初预算增加减少</w:t>
      </w:r>
      <w:r>
        <w:rPr>
          <w:rFonts w:hint="eastAsia" w:ascii="仿宋_GB2312" w:hAnsi="Times New Roman" w:eastAsia="仿宋_GB2312" w:cs="DengXian-Regular"/>
          <w:sz w:val="32"/>
          <w:szCs w:val="32"/>
          <w:lang w:val="en-US" w:eastAsia="zh-CN"/>
        </w:rPr>
        <w:t>26.84</w:t>
      </w:r>
      <w:r>
        <w:rPr>
          <w:rFonts w:hint="eastAsia" w:ascii="仿宋_GB2312" w:hAnsi="Times New Roman" w:eastAsia="仿宋_GB2312" w:cs="DengXian-Regular"/>
          <w:sz w:val="32"/>
          <w:szCs w:val="32"/>
        </w:rPr>
        <w:t>万元，决算数小于预算数主要原因是</w:t>
      </w:r>
      <w:r>
        <w:rPr>
          <w:rFonts w:hint="eastAsia" w:ascii="仿宋_GB2312" w:hAnsi="Times New Roman" w:eastAsia="仿宋_GB2312" w:cs="DengXian-Regular"/>
          <w:sz w:val="32"/>
          <w:szCs w:val="32"/>
          <w:lang w:eastAsia="zh-CN"/>
        </w:rPr>
        <w:t>人员减少</w:t>
      </w:r>
      <w:r>
        <w:rPr>
          <w:rFonts w:hint="eastAsia" w:ascii="仿宋_GB2312" w:hAnsi="Times New Roman" w:eastAsia="仿宋_GB2312" w:cs="DengXian-Regular"/>
          <w:sz w:val="32"/>
          <w:szCs w:val="32"/>
          <w:lang w:val="en-US" w:eastAsia="zh-CN"/>
        </w:rPr>
        <w:t>2人</w:t>
      </w:r>
      <w:r>
        <w:rPr>
          <w:rFonts w:hint="eastAsia" w:ascii="仿宋_GB2312" w:hAnsi="Times New Roman" w:eastAsia="仿宋_GB2312" w:cs="DengXian-Regular"/>
          <w:sz w:val="32"/>
          <w:szCs w:val="32"/>
          <w:lang w:eastAsia="zh-CN"/>
        </w:rPr>
        <w:t>且今年无项目收入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94.79</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26.84</w:t>
      </w:r>
      <w:r>
        <w:rPr>
          <w:rFonts w:hint="eastAsia" w:ascii="仿宋_GB2312" w:hAnsi="Times New Roman" w:eastAsia="仿宋_GB2312" w:cs="DengXian-Regular"/>
          <w:sz w:val="32"/>
          <w:szCs w:val="32"/>
        </w:rPr>
        <w:t>万元，决算数小于预算数主要原因是主要是</w:t>
      </w:r>
      <w:r>
        <w:rPr>
          <w:rFonts w:hint="eastAsia" w:ascii="仿宋_GB2312" w:hAnsi="Times New Roman" w:eastAsia="仿宋_GB2312" w:cs="DengXian-Regular"/>
          <w:sz w:val="32"/>
          <w:szCs w:val="32"/>
          <w:lang w:eastAsia="zh-CN"/>
        </w:rPr>
        <w:t>收入减少导致支出减少</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w:t>
      </w:r>
      <w:r>
        <w:rPr>
          <w:rFonts w:hint="eastAsia" w:ascii="仿宋_GB2312" w:hAnsi="Times New Roman" w:eastAsia="仿宋_GB2312" w:cs="DengXian-Regular"/>
          <w:sz w:val="32"/>
          <w:szCs w:val="32"/>
          <w:lang w:val="en-US" w:eastAsia="zh-CN"/>
        </w:rPr>
        <w:t>94.79</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26.84</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因为人员减少</w:t>
      </w:r>
      <w:r>
        <w:rPr>
          <w:rFonts w:hint="eastAsia" w:ascii="仿宋_GB2312" w:hAnsi="Times New Roman" w:eastAsia="仿宋_GB2312" w:cs="DengXian-Regular"/>
          <w:sz w:val="32"/>
          <w:szCs w:val="32"/>
          <w:lang w:val="en-US" w:eastAsia="zh-CN"/>
        </w:rPr>
        <w:t>2人</w:t>
      </w:r>
      <w:r>
        <w:rPr>
          <w:rFonts w:hint="eastAsia" w:ascii="仿宋_GB2312" w:hAnsi="Times New Roman" w:eastAsia="仿宋_GB2312" w:cs="DengXian-Regular"/>
          <w:sz w:val="32"/>
          <w:szCs w:val="32"/>
          <w:lang w:eastAsia="zh-CN"/>
        </w:rPr>
        <w:t>且今年无项目收入</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94.79</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26.84</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因为收入减少导致支出减少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因为无政府性</w:t>
      </w:r>
      <w:r>
        <w:rPr>
          <w:rFonts w:hint="eastAsia" w:ascii="仿宋_GB2312" w:hAnsi="Times New Roman" w:eastAsia="仿宋_GB2312" w:cs="DengXian-Regular"/>
          <w:sz w:val="32"/>
          <w:szCs w:val="32"/>
        </w:rPr>
        <w:t>基金预算财政拨款</w:t>
      </w:r>
      <w:r>
        <w:rPr>
          <w:rFonts w:hint="eastAsia" w:ascii="仿宋_GB2312" w:hAnsi="Times New Roman" w:eastAsia="仿宋_GB2312" w:cs="DengXian-Regular"/>
          <w:sz w:val="32"/>
          <w:szCs w:val="32"/>
          <w:lang w:eastAsia="zh-CN"/>
        </w:rPr>
        <w:t>收入</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因为无政府性</w:t>
      </w:r>
      <w:r>
        <w:rPr>
          <w:rFonts w:hint="eastAsia" w:ascii="仿宋_GB2312" w:hAnsi="Times New Roman" w:eastAsia="仿宋_GB2312" w:cs="DengXian-Regular"/>
          <w:sz w:val="32"/>
          <w:szCs w:val="32"/>
        </w:rPr>
        <w:t>基金预算财政拨款</w:t>
      </w:r>
      <w:r>
        <w:rPr>
          <w:rFonts w:hint="eastAsia" w:ascii="仿宋_GB2312" w:hAnsi="Times New Roman" w:eastAsia="仿宋_GB2312" w:cs="DengXian-Regular"/>
          <w:sz w:val="32"/>
          <w:szCs w:val="32"/>
          <w:lang w:eastAsia="zh-CN"/>
        </w:rPr>
        <w:t>收入，所以无相应支出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因为无</w:t>
      </w:r>
      <w:r>
        <w:rPr>
          <w:rFonts w:hint="eastAsia" w:ascii="仿宋_GB2312" w:hAnsi="Times New Roman" w:eastAsia="仿宋_GB2312" w:cs="DengXian-Regular"/>
          <w:sz w:val="32"/>
          <w:szCs w:val="32"/>
        </w:rPr>
        <w:t>国有资本经营预算财政拨款；支出完成年初预算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因为无</w:t>
      </w:r>
      <w:r>
        <w:rPr>
          <w:rFonts w:hint="eastAsia" w:ascii="仿宋_GB2312" w:hAnsi="Times New Roman" w:eastAsia="仿宋_GB2312" w:cs="DengXian-Regular"/>
          <w:sz w:val="32"/>
          <w:szCs w:val="32"/>
        </w:rPr>
        <w:t>国有资本经营预算财政拨款</w:t>
      </w:r>
      <w:r>
        <w:rPr>
          <w:rFonts w:hint="eastAsia" w:ascii="仿宋_GB2312" w:hAnsi="Times New Roman" w:eastAsia="仿宋_GB2312" w:cs="DengXian-Regular"/>
          <w:sz w:val="32"/>
          <w:szCs w:val="32"/>
          <w:lang w:eastAsia="zh-CN"/>
        </w:rPr>
        <w:t>收入，所以无相应支出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560" w:firstLineChars="200"/>
        <w:jc w:val="center"/>
        <w:rPr>
          <w:rFonts w:hint="eastAsia" w:ascii="仿宋_GB2312" w:hAnsi="Times New Roman" w:eastAsia="仿宋_GB2312" w:cs="Wingdings"/>
          <w:sz w:val="28"/>
          <w:szCs w:val="28"/>
        </w:rPr>
      </w:pPr>
    </w:p>
    <w:p>
      <w:pPr>
        <w:adjustRightInd w:val="0"/>
        <w:snapToGrid w:val="0"/>
        <w:spacing w:line="580" w:lineRule="exact"/>
        <w:ind w:firstLine="560" w:firstLineChars="200"/>
        <w:jc w:val="center"/>
        <w:rPr>
          <w:rFonts w:hint="eastAsia" w:ascii="仿宋_GB2312" w:hAnsi="Times New Roman" w:eastAsia="仿宋_GB2312" w:cs="Wingdings"/>
          <w:sz w:val="28"/>
          <w:szCs w:val="28"/>
        </w:rPr>
      </w:pPr>
    </w:p>
    <w:p>
      <w:pPr>
        <w:adjustRightInd w:val="0"/>
        <w:snapToGrid w:val="0"/>
        <w:spacing w:line="580" w:lineRule="exact"/>
        <w:ind w:firstLine="560" w:firstLineChars="200"/>
        <w:jc w:val="center"/>
        <w:rPr>
          <w:rFonts w:hint="eastAsia" w:ascii="仿宋_GB2312" w:hAnsi="Times New Roman" w:eastAsia="仿宋_GB2312" w:cs="Wingdings"/>
          <w:sz w:val="28"/>
          <w:szCs w:val="28"/>
        </w:rPr>
      </w:pPr>
    </w:p>
    <w:p>
      <w:pPr>
        <w:adjustRightInd w:val="0"/>
        <w:snapToGrid w:val="0"/>
        <w:spacing w:line="580" w:lineRule="exact"/>
        <w:ind w:firstLine="560" w:firstLineChars="200"/>
        <w:jc w:val="center"/>
        <w:rPr>
          <w:rFonts w:hint="eastAsia" w:ascii="仿宋_GB2312" w:hAnsi="Times New Roman" w:eastAsia="仿宋_GB2312" w:cs="Wingdings"/>
          <w:sz w:val="28"/>
          <w:szCs w:val="28"/>
        </w:rPr>
      </w:pPr>
    </w:p>
    <w:p>
      <w:pPr>
        <w:adjustRightInd w:val="0"/>
        <w:snapToGrid w:val="0"/>
        <w:spacing w:line="580" w:lineRule="exact"/>
        <w:jc w:val="center"/>
        <w:rPr>
          <w:rFonts w:hint="eastAsia" w:ascii="仿宋_GB2312" w:hAnsi="Times New Roman" w:eastAsia="仿宋_GB2312" w:cs="Wingdings"/>
          <w:sz w:val="28"/>
          <w:szCs w:val="28"/>
        </w:rPr>
      </w:pPr>
    </w:p>
    <w:p>
      <w:pPr>
        <w:adjustRightInd w:val="0"/>
        <w:snapToGrid w:val="0"/>
        <w:spacing w:line="580" w:lineRule="exact"/>
        <w:jc w:val="center"/>
        <w:rPr>
          <w:rFonts w:hint="eastAsia" w:ascii="仿宋_GB2312" w:hAnsi="Times New Roman" w:eastAsia="仿宋_GB2312" w:cs="Wingdings"/>
          <w:sz w:val="28"/>
          <w:szCs w:val="28"/>
        </w:rPr>
      </w:pPr>
      <w:r>
        <w:rPr>
          <w:rFonts w:hint="eastAsia" w:ascii="仿宋_GB2312" w:hAnsi="Times New Roman" w:eastAsia="仿宋_GB2312" w:cs="DengXian-Regular"/>
          <w:sz w:val="32"/>
          <w:szCs w:val="32"/>
          <w:highlight w:val="yellow"/>
          <w:lang w:eastAsia="zh-CN"/>
        </w:rPr>
        <w:drawing>
          <wp:anchor distT="0" distB="0" distL="114300" distR="114300" simplePos="0" relativeHeight="251675648" behindDoc="0" locked="0" layoutInCell="1" allowOverlap="1">
            <wp:simplePos x="0" y="0"/>
            <wp:positionH relativeFrom="column">
              <wp:posOffset>518160</wp:posOffset>
            </wp:positionH>
            <wp:positionV relativeFrom="paragraph">
              <wp:posOffset>105410</wp:posOffset>
            </wp:positionV>
            <wp:extent cx="4813935" cy="3905250"/>
            <wp:effectExtent l="4445" t="4445" r="20320" b="14605"/>
            <wp:wrapTopAndBottom/>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Pr>
          <w:rFonts w:hint="eastAsia" w:ascii="仿宋_GB2312" w:hAnsi="Times New Roman" w:eastAsia="仿宋_GB2312" w:cs="Wingdings"/>
          <w:sz w:val="28"/>
          <w:szCs w:val="28"/>
        </w:rPr>
        <w:t>图</w:t>
      </w:r>
      <w:r>
        <w:rPr>
          <w:rFonts w:hint="eastAsia" w:ascii="仿宋_GB2312" w:hAnsi="Times New Roman" w:eastAsia="仿宋_GB2312" w:cs="Wingdings"/>
          <w:sz w:val="28"/>
          <w:szCs w:val="28"/>
          <w:lang w:val="en-US" w:eastAsia="zh-CN"/>
        </w:rPr>
        <w:t>3</w:t>
      </w:r>
      <w:r>
        <w:rPr>
          <w:rFonts w:hint="eastAsia" w:ascii="仿宋_GB2312" w:hAnsi="Times New Roman" w:eastAsia="仿宋_GB2312" w:cs="Wingdings"/>
          <w:sz w:val="28"/>
          <w:szCs w:val="28"/>
        </w:rPr>
        <w:t>：</w:t>
      </w:r>
      <w:r>
        <w:rPr>
          <w:rFonts w:hint="eastAsia" w:ascii="仿宋_GB2312" w:hAnsi="Times New Roman" w:eastAsia="仿宋_GB2312" w:cs="Wingdings"/>
          <w:sz w:val="28"/>
          <w:szCs w:val="28"/>
          <w:lang w:val="en-US" w:eastAsia="zh-CN"/>
        </w:rPr>
        <w:t>2021年财政拨款收支与年初预算数对比</w:t>
      </w:r>
      <w:r>
        <w:rPr>
          <w:rFonts w:hint="eastAsia" w:ascii="仿宋_GB2312" w:hAnsi="Times New Roman" w:eastAsia="仿宋_GB2312" w:cs="Wingdings"/>
          <w:sz w:val="28"/>
          <w:szCs w:val="28"/>
        </w:rPr>
        <w:t>情况</w:t>
      </w:r>
    </w:p>
    <w:p>
      <w:pPr>
        <w:numPr>
          <w:ilvl w:val="0"/>
          <w:numId w:val="1"/>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2021 年度财政拨款支出</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万元，主要用于以下方面</w:t>
      </w:r>
    </w:p>
    <w:p>
      <w:pPr>
        <w:adjustRightInd w:val="0"/>
        <w:snapToGrid w:val="0"/>
        <w:spacing w:line="580" w:lineRule="exact"/>
        <w:rPr>
          <w:rFonts w:ascii="仿宋_GB2312" w:hAnsi="Times New Roman" w:eastAsia="仿宋_GB2312" w:cs="DengXian-Regular"/>
          <w:sz w:val="32"/>
          <w:szCs w:val="32"/>
        </w:rPr>
      </w:pPr>
      <w:r>
        <w:rPr>
          <w:rFonts w:hint="eastAsia" w:ascii="仿宋_GB2312" w:hAnsi="Times New Roman" w:eastAsia="仿宋_GB2312" w:cs="DengXian-Regular"/>
          <w:sz w:val="32"/>
          <w:szCs w:val="32"/>
        </w:rPr>
        <w:t>教育（类）支出</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eastAsia="zh-CN"/>
        </w:rPr>
        <w:t>学前教育</w:t>
      </w:r>
      <w:r>
        <w:rPr>
          <w:rFonts w:hint="eastAsia" w:ascii="仿宋_GB2312" w:hAnsi="Times New Roman" w:eastAsia="仿宋_GB2312" w:cs="DengXian-Regular"/>
          <w:sz w:val="32"/>
          <w:szCs w:val="32"/>
        </w:rPr>
        <w:t>支出</w:t>
      </w:r>
      <w:r>
        <w:rPr>
          <w:rFonts w:hint="eastAsia" w:ascii="仿宋_GB2312" w:hAnsi="Times New Roman" w:eastAsia="仿宋_GB2312" w:cs="DengXian-Regular"/>
          <w:sz w:val="32"/>
          <w:szCs w:val="32"/>
          <w:lang w:eastAsia="zh-CN"/>
        </w:rPr>
        <w:t>，其中，用于工资福利支出284.67</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、商品和服务支出</w:t>
      </w:r>
      <w:r>
        <w:rPr>
          <w:rFonts w:hint="eastAsia" w:ascii="仿宋_GB2312" w:hAnsi="Times New Roman" w:eastAsia="仿宋_GB2312" w:cs="DengXian-Regular"/>
          <w:sz w:val="32"/>
          <w:szCs w:val="32"/>
          <w:lang w:val="en-US" w:eastAsia="zh-CN"/>
        </w:rPr>
        <w:t>197.86</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、对个人和家庭的补助</w:t>
      </w:r>
      <w:r>
        <w:rPr>
          <w:rFonts w:hint="eastAsia" w:ascii="仿宋_GB2312" w:hAnsi="Times New Roman" w:eastAsia="仿宋_GB2312" w:cs="DengXian-Regular"/>
          <w:sz w:val="32"/>
          <w:szCs w:val="32"/>
          <w:lang w:val="en-US" w:eastAsia="zh-CN"/>
        </w:rPr>
        <w:t>3.28万元、资本性支出2.5万元</w:t>
      </w:r>
      <w:r>
        <w:rPr>
          <w:rFonts w:hint="eastAsia" w:ascii="仿宋_GB2312" w:hAnsi="Times New Roman" w:eastAsia="仿宋_GB2312" w:cs="DengXian-Regular"/>
          <w:sz w:val="32"/>
          <w:szCs w:val="32"/>
        </w:rPr>
        <w:t>。</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488.31</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人员经费 </w:t>
      </w:r>
      <w:r>
        <w:rPr>
          <w:rFonts w:hint="eastAsia" w:ascii="仿宋_GB2312" w:hAnsi="Times New Roman" w:eastAsia="仿宋_GB2312" w:cs="DengXian-Regular"/>
          <w:sz w:val="32"/>
          <w:szCs w:val="32"/>
          <w:lang w:val="en-US" w:eastAsia="zh-CN"/>
        </w:rPr>
        <w:t>287.95</w:t>
      </w:r>
      <w:r>
        <w:rPr>
          <w:rFonts w:hint="eastAsia" w:ascii="仿宋_GB2312" w:hAnsi="Times New Roman" w:eastAsia="仿宋_GB2312" w:cs="DengXian-Regular"/>
          <w:sz w:val="32"/>
          <w:szCs w:val="32"/>
        </w:rPr>
        <w:t>万元，主要包括基本工资、津贴补贴、奖金、绩效工资、机关事业单位基本养老保险缴费、职业年金缴费、职工基本医疗保险缴费、公务员医疗补助缴费、住房公积金、其他社会保障缴费、对个人和家庭的补助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公用经费 </w:t>
      </w:r>
      <w:r>
        <w:rPr>
          <w:rFonts w:hint="eastAsia" w:ascii="仿宋_GB2312" w:hAnsi="Times New Roman" w:eastAsia="仿宋_GB2312" w:cs="DengXian-Regular"/>
          <w:sz w:val="32"/>
          <w:szCs w:val="32"/>
          <w:lang w:val="en-US" w:eastAsia="zh-CN"/>
        </w:rPr>
        <w:t>200.36</w:t>
      </w:r>
      <w:r>
        <w:rPr>
          <w:rFonts w:hint="eastAsia" w:ascii="仿宋_GB2312" w:hAnsi="Times New Roman" w:eastAsia="仿宋_GB2312" w:cs="DengXian-Regular"/>
          <w:sz w:val="32"/>
          <w:szCs w:val="32"/>
        </w:rPr>
        <w:t>万元，主要包括办公费、印刷费、水费、电费、邮电费、取暖费、物业管理费、差旅费、维修（护）费、培训费、专用材料费、劳务费、工会经费、福利费、专用设备购置</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本单位无因公出国（境），无</w:t>
      </w:r>
      <w:r>
        <w:rPr>
          <w:rFonts w:hint="eastAsia" w:ascii="仿宋_GB2312" w:hAnsi="Times New Roman" w:eastAsia="仿宋_GB2312" w:cs="DengXian-Regular"/>
          <w:sz w:val="32"/>
          <w:szCs w:val="32"/>
        </w:rPr>
        <w:t>公务用车购置及运行维护费</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无公务接待费</w:t>
      </w:r>
      <w:r>
        <w:rPr>
          <w:rFonts w:hint="eastAsia" w:ascii="仿宋_GB2312" w:hAnsi="Times New Roman" w:eastAsia="仿宋_GB2312" w:cs="DengXian-Regular"/>
          <w:sz w:val="32"/>
          <w:szCs w:val="32"/>
        </w:rPr>
        <w:t>；较2020年度决算增加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本单位无因公出国（境），无</w:t>
      </w:r>
      <w:r>
        <w:rPr>
          <w:rFonts w:hint="eastAsia" w:ascii="仿宋_GB2312" w:hAnsi="Times New Roman" w:eastAsia="仿宋_GB2312" w:cs="DengXian-Regular"/>
          <w:sz w:val="32"/>
          <w:szCs w:val="32"/>
        </w:rPr>
        <w:t>公务用车购置</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及运行维护费。</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2021年度因公出国（境）费支出预算为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主要是无本单位组织的出国（境）团组。因公出国（境）费支出较预算增加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 w:hAnsi="仿宋" w:eastAsia="仿宋" w:cs="仿宋"/>
          <w:b w:val="0"/>
          <w:bCs w:val="0"/>
          <w:i w:val="0"/>
          <w:iCs w:val="0"/>
          <w:sz w:val="32"/>
          <w:szCs w:val="32"/>
        </w:rPr>
        <w:t>本</w:t>
      </w:r>
      <w:r>
        <w:rPr>
          <w:rFonts w:hint="eastAsia" w:ascii="仿宋" w:hAnsi="仿宋" w:eastAsia="仿宋" w:cs="仿宋"/>
          <w:b w:val="0"/>
          <w:bCs w:val="0"/>
          <w:i w:val="0"/>
          <w:iCs w:val="0"/>
          <w:sz w:val="32"/>
          <w:szCs w:val="32"/>
          <w:lang w:val="en-US" w:eastAsia="zh-CN"/>
        </w:rPr>
        <w:t>单位</w:t>
      </w:r>
      <w:r>
        <w:rPr>
          <w:rFonts w:hint="eastAsia" w:ascii="仿宋" w:hAnsi="仿宋" w:eastAsia="仿宋" w:cs="仿宋"/>
          <w:b w:val="0"/>
          <w:bCs w:val="0"/>
          <w:i w:val="0"/>
          <w:iCs w:val="0"/>
          <w:sz w:val="32"/>
          <w:szCs w:val="32"/>
        </w:rPr>
        <w:t>无组织的出国（境）团组</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 w:hAnsi="仿宋" w:eastAsia="仿宋" w:cs="仿宋"/>
          <w:b w:val="0"/>
          <w:bCs w:val="0"/>
          <w:i w:val="0"/>
          <w:iCs w:val="0"/>
          <w:sz w:val="32"/>
          <w:szCs w:val="32"/>
        </w:rPr>
        <w:t>本</w:t>
      </w:r>
      <w:r>
        <w:rPr>
          <w:rFonts w:hint="eastAsia" w:ascii="仿宋" w:hAnsi="仿宋" w:eastAsia="仿宋" w:cs="仿宋"/>
          <w:b w:val="0"/>
          <w:bCs w:val="0"/>
          <w:i w:val="0"/>
          <w:iCs w:val="0"/>
          <w:sz w:val="32"/>
          <w:szCs w:val="32"/>
          <w:lang w:val="en-US" w:eastAsia="zh-CN"/>
        </w:rPr>
        <w:t>单位</w:t>
      </w:r>
      <w:r>
        <w:rPr>
          <w:rFonts w:hint="eastAsia" w:ascii="仿宋" w:hAnsi="仿宋" w:eastAsia="仿宋" w:cs="仿宋"/>
          <w:b w:val="0"/>
          <w:bCs w:val="0"/>
          <w:i w:val="0"/>
          <w:iCs w:val="0"/>
          <w:sz w:val="32"/>
          <w:szCs w:val="32"/>
        </w:rPr>
        <w:t>无组织的出国（境）团组</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 w:hAnsi="仿宋" w:eastAsia="仿宋" w:cs="仿宋"/>
          <w:b w:val="0"/>
          <w:bCs w:val="0"/>
          <w:i w:val="0"/>
          <w:iCs w:val="0"/>
          <w:sz w:val="32"/>
          <w:szCs w:val="32"/>
        </w:rPr>
        <w:t>本</w:t>
      </w:r>
      <w:r>
        <w:rPr>
          <w:rFonts w:hint="eastAsia" w:ascii="仿宋" w:hAnsi="仿宋" w:eastAsia="仿宋" w:cs="仿宋"/>
          <w:b w:val="0"/>
          <w:bCs w:val="0"/>
          <w:i w:val="0"/>
          <w:iCs w:val="0"/>
          <w:sz w:val="32"/>
          <w:szCs w:val="32"/>
          <w:lang w:eastAsia="zh-CN"/>
        </w:rPr>
        <w:t>单位无</w:t>
      </w:r>
      <w:r>
        <w:rPr>
          <w:rFonts w:hint="eastAsia" w:ascii="仿宋" w:hAnsi="仿宋" w:eastAsia="仿宋" w:cs="仿宋"/>
          <w:b w:val="0"/>
          <w:bCs w:val="0"/>
          <w:i w:val="0"/>
          <w:iCs w:val="0"/>
          <w:sz w:val="32"/>
          <w:szCs w:val="32"/>
        </w:rPr>
        <w:t>公车</w:t>
      </w:r>
      <w:r>
        <w:rPr>
          <w:rFonts w:hint="eastAsia" w:ascii="仿宋_GB2312" w:hAnsi="Times New Roman" w:eastAsia="仿宋_GB2312" w:cs="DengXian-Regular"/>
          <w:sz w:val="32"/>
          <w:szCs w:val="32"/>
        </w:rPr>
        <w:t>；较上年减少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 w:hAnsi="仿宋" w:eastAsia="仿宋" w:cs="仿宋"/>
          <w:b w:val="0"/>
          <w:bCs w:val="0"/>
          <w:i w:val="0"/>
          <w:iCs w:val="0"/>
          <w:sz w:val="32"/>
          <w:szCs w:val="32"/>
        </w:rPr>
        <w:t>本</w:t>
      </w:r>
      <w:r>
        <w:rPr>
          <w:rFonts w:hint="eastAsia" w:ascii="仿宋" w:hAnsi="仿宋" w:eastAsia="仿宋" w:cs="仿宋"/>
          <w:b w:val="0"/>
          <w:bCs w:val="0"/>
          <w:i w:val="0"/>
          <w:iCs w:val="0"/>
          <w:sz w:val="32"/>
          <w:szCs w:val="32"/>
          <w:lang w:eastAsia="zh-CN"/>
        </w:rPr>
        <w:t>单位无</w:t>
      </w:r>
      <w:r>
        <w:rPr>
          <w:rFonts w:hint="eastAsia" w:ascii="仿宋" w:hAnsi="仿宋" w:eastAsia="仿宋" w:cs="仿宋"/>
          <w:b w:val="0"/>
          <w:bCs w:val="0"/>
          <w:i w:val="0"/>
          <w:iCs w:val="0"/>
          <w:sz w:val="32"/>
          <w:szCs w:val="32"/>
        </w:rPr>
        <w:t>公车</w:t>
      </w:r>
      <w:r>
        <w:rPr>
          <w:rFonts w:hint="eastAsia" w:ascii="仿宋_GB2312" w:hAnsi="Times New Roman" w:eastAsia="仿宋_GB2312" w:cs="DengXian-Regular"/>
          <w:sz w:val="32"/>
          <w:szCs w:val="32"/>
        </w:rPr>
        <w:t>。</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万元。公务用车购置费支出较预算增加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%,主要是未发生公务用车购置经费支出；较上年增加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%,主要是未发生公务用车购置经费支出。</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2021年度单位公务用车保有量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辆。公车运行维护费支出较预算增加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本单位无公务用车运行维护费</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本单位无公务用车运行维护费</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2021年度公务接待费支出预算为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人次。公务接待费支出较预算增加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本单位无公务接待费</w:t>
      </w:r>
      <w:r>
        <w:rPr>
          <w:rFonts w:hint="eastAsia" w:ascii="仿宋_GB2312" w:hAnsi="Times New Roman" w:eastAsia="仿宋_GB2312" w:cs="DengXian-Regular"/>
          <w:sz w:val="32"/>
          <w:szCs w:val="32"/>
        </w:rPr>
        <w:t>；较上年度减少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本单位无公务接待费</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组织对2021年度一般公共预算项目支出全面开展绩效自评，其中，一级项目</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个，二级项目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个，共涉及资金</w:t>
      </w:r>
      <w:r>
        <w:rPr>
          <w:rFonts w:hint="eastAsia" w:ascii="仿宋_GB2312" w:hAnsi="仿宋_GB2312" w:eastAsia="仿宋_GB2312" w:cs="仿宋_GB2312"/>
          <w:sz w:val="32"/>
          <w:szCs w:val="32"/>
          <w:lang w:val="en-US" w:eastAsia="zh-CN"/>
        </w:rPr>
        <w:t>189.729</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38.85%</w:t>
      </w:r>
      <w:r>
        <w:rPr>
          <w:rFonts w:hint="eastAsia" w:ascii="仿宋_GB2312" w:hAnsi="仿宋_GB2312" w:eastAsia="仿宋_GB2312" w:cs="仿宋_GB2312"/>
          <w:sz w:val="32"/>
          <w:szCs w:val="32"/>
        </w:rPr>
        <w:t>。</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eastAsia="zh-CN"/>
        </w:rPr>
        <w:t>单位</w:t>
      </w:r>
      <w:r>
        <w:rPr>
          <w:rFonts w:hint="eastAsia" w:ascii="仿宋_GB2312" w:hAnsi="仿宋_GB2312" w:eastAsia="仿宋_GB2312" w:cs="仿宋_GB2312"/>
          <w:b/>
          <w:bCs/>
          <w:sz w:val="32"/>
          <w:szCs w:val="32"/>
        </w:rPr>
        <w:t>决算中项目绩效自评结果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在今年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决算公开中反映</w:t>
      </w:r>
      <w:r>
        <w:rPr>
          <w:rFonts w:hint="eastAsia" w:ascii="仿宋_GB2312" w:hAnsi="仿宋_GB2312" w:eastAsia="仿宋_GB2312" w:cs="仿宋_GB2312"/>
          <w:sz w:val="32"/>
          <w:szCs w:val="32"/>
          <w:lang w:eastAsia="zh-CN"/>
        </w:rPr>
        <w:t>收费</w:t>
      </w:r>
      <w:r>
        <w:rPr>
          <w:rFonts w:hint="eastAsia" w:ascii="仿宋_GB2312" w:hAnsi="仿宋_GB2312" w:eastAsia="仿宋_GB2312" w:cs="仿宋_GB2312"/>
          <w:sz w:val="32"/>
          <w:szCs w:val="32"/>
          <w:lang w:val="en-US" w:eastAsia="zh-CN"/>
        </w:rPr>
        <w:t>-藁城区育才幼儿园保教费</w:t>
      </w:r>
      <w:r>
        <w:rPr>
          <w:rFonts w:hint="eastAsia" w:ascii="仿宋_GB2312" w:hAnsi="仿宋_GB2312" w:eastAsia="仿宋_GB2312" w:cs="仿宋_GB2312"/>
          <w:sz w:val="32"/>
          <w:szCs w:val="32"/>
        </w:rPr>
        <w:t>项目及</w:t>
      </w:r>
      <w:r>
        <w:rPr>
          <w:rFonts w:hint="eastAsia" w:ascii="仿宋_GB2312" w:hAnsi="仿宋_GB2312" w:eastAsia="仿宋_GB2312" w:cs="仿宋_GB2312"/>
          <w:sz w:val="32"/>
          <w:szCs w:val="32"/>
          <w:lang w:eastAsia="zh-CN"/>
        </w:rPr>
        <w:t>幼儿生均公用</w:t>
      </w:r>
      <w:r>
        <w:rPr>
          <w:rFonts w:hint="eastAsia" w:ascii="仿宋_GB2312" w:hAnsi="仿宋_GB2312" w:eastAsia="仿宋_GB2312" w:cs="仿宋_GB2312"/>
          <w:sz w:val="32"/>
          <w:szCs w:val="32"/>
        </w:rPr>
        <w:t>项目等</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个项目绩效自评结果。</w:t>
      </w:r>
    </w:p>
    <w:p>
      <w:pPr>
        <w:numPr>
          <w:ilvl w:val="0"/>
          <w:numId w:val="2"/>
        </w:numPr>
        <w:adjustRightInd w:val="0"/>
        <w:snapToGrid w:val="0"/>
        <w:spacing w:line="58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lang w:eastAsia="zh-CN"/>
        </w:rPr>
        <w:t>收费</w:t>
      </w:r>
      <w:r>
        <w:rPr>
          <w:rFonts w:hint="eastAsia" w:ascii="仿宋_GB2312" w:hAnsi="仿宋_GB2312" w:eastAsia="仿宋_GB2312" w:cs="仿宋_GB2312"/>
          <w:sz w:val="32"/>
          <w:szCs w:val="32"/>
          <w:lang w:val="en-US" w:eastAsia="zh-CN"/>
        </w:rPr>
        <w:t>-藁城区育才幼儿园保教费</w:t>
      </w:r>
      <w:r>
        <w:rPr>
          <w:rFonts w:hint="eastAsia" w:ascii="仿宋_GB2312" w:hAnsi="仿宋_GB2312" w:eastAsia="仿宋_GB2312" w:cs="仿宋_GB2312"/>
          <w:sz w:val="32"/>
          <w:szCs w:val="32"/>
        </w:rPr>
        <w:t>项目自评综述：根据年初设定的绩效目标，</w:t>
      </w:r>
      <w:r>
        <w:rPr>
          <w:rFonts w:hint="eastAsia" w:ascii="仿宋_GB2312" w:hAnsi="仿宋_GB2312" w:eastAsia="仿宋_GB2312" w:cs="仿宋_GB2312"/>
          <w:sz w:val="32"/>
          <w:szCs w:val="32"/>
          <w:lang w:eastAsia="zh-CN"/>
        </w:rPr>
        <w:t>收费</w:t>
      </w:r>
      <w:r>
        <w:rPr>
          <w:rFonts w:hint="eastAsia" w:ascii="仿宋_GB2312" w:hAnsi="仿宋_GB2312" w:eastAsia="仿宋_GB2312" w:cs="仿宋_GB2312"/>
          <w:sz w:val="32"/>
          <w:szCs w:val="32"/>
          <w:lang w:val="en-US" w:eastAsia="zh-CN"/>
        </w:rPr>
        <w:t>-藁城区育才幼儿园保教费</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分（绩效自评表附后）。全年预算数为135.345万元，执行数为135.345万元，完成预算的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通过项目实施，完成了年初设定的各项绩效目标，完成依据文件对缺勤幼儿进行退费；派遣单位开出发票后及时打款保证外聘人员工资及时发放；按照文件及时进行校内资助的发放，及时缴纳水电邮电费和取暖费，保障幼儿园正常运转；依据预算进行购置维修等。未发现问题</w:t>
      </w:r>
      <w:r>
        <w:rPr>
          <w:rFonts w:hint="eastAsia" w:ascii="仿宋_GB2312" w:hAnsi="仿宋_GB2312" w:eastAsia="仿宋_GB2312" w:cs="仿宋_GB2312"/>
          <w:sz w:val="32"/>
          <w:szCs w:val="32"/>
          <w:highlight w:val="none"/>
          <w:lang w:eastAsia="zh-CN"/>
        </w:rPr>
        <w:t>。</w:t>
      </w:r>
    </w:p>
    <w:tbl>
      <w:tblPr>
        <w:tblStyle w:val="6"/>
        <w:tblW w:w="870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1"/>
        <w:gridCol w:w="1125"/>
        <w:gridCol w:w="1275"/>
        <w:gridCol w:w="1095"/>
        <w:gridCol w:w="1065"/>
        <w:gridCol w:w="1065"/>
        <w:gridCol w:w="105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701"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241" w:type="dxa"/>
            <w:gridSpan w:val="3"/>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填报单位：石家庄市藁城区育才幼儿园</w:t>
            </w:r>
          </w:p>
        </w:tc>
        <w:tc>
          <w:tcPr>
            <w:tcW w:w="109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6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6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223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41"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1337</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33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石家庄市藁城区育才幼儿园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67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收费-藁城区育才幼儿园保教费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135.345</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135.345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135.345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3495"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318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照年初设定目标，明确资金使用目的，将收费项目的资金用于以下几个方面：幼儿缺勤退费；外聘教职工工资；校内资助；办公设备购置；维修；幼儿园水、电、邮电、暖气费用等，为幼儿园正常有秩序的运转提供资金保障。</w:t>
            </w:r>
          </w:p>
        </w:tc>
        <w:tc>
          <w:tcPr>
            <w:tcW w:w="31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依据文件对缺勤幼儿进行退费；派遣单位开出发票后及时打款保证外聘人员工资及时发放；按照文件及时进行校内资助的发放，及时缴纳水电邮电费和取暖费，保障幼儿园正常运转；依据预算进行购置维修等。</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4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112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27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09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1065"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1065"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维修项目数量</w:t>
            </w:r>
          </w:p>
        </w:tc>
        <w:tc>
          <w:tcPr>
            <w:tcW w:w="10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≥5</w:t>
            </w:r>
          </w:p>
        </w:tc>
        <w:tc>
          <w:tcPr>
            <w:tcW w:w="10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6</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资金使用情况</w:t>
            </w:r>
          </w:p>
        </w:tc>
        <w:tc>
          <w:tcPr>
            <w:tcW w:w="10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10</w:t>
            </w:r>
          </w:p>
        </w:tc>
        <w:tc>
          <w:tcPr>
            <w:tcW w:w="10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216</w:t>
            </w:r>
            <w:r>
              <w:rPr>
                <w:rStyle w:val="9"/>
                <w:sz w:val="16"/>
                <w:szCs w:val="16"/>
                <w:lang w:val="en-US" w:eastAsia="zh-CN" w:bidi="ar"/>
              </w:rPr>
              <w:t>万元</w:t>
            </w:r>
          </w:p>
        </w:tc>
        <w:tc>
          <w:tcPr>
            <w:tcW w:w="105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135.345</w:t>
            </w:r>
            <w:r>
              <w:rPr>
                <w:rStyle w:val="9"/>
                <w:sz w:val="16"/>
                <w:szCs w:val="16"/>
                <w:lang w:val="en-US" w:eastAsia="zh-CN" w:bidi="ar"/>
              </w:rPr>
              <w:t>万元</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维修验收合格率</w:t>
            </w:r>
          </w:p>
        </w:tc>
        <w:tc>
          <w:tcPr>
            <w:tcW w:w="10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10</w:t>
            </w:r>
          </w:p>
        </w:tc>
        <w:tc>
          <w:tcPr>
            <w:tcW w:w="10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≥97%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99%</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资金落实及完成情况</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基本及时</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维修成本</w:t>
            </w:r>
          </w:p>
        </w:tc>
        <w:tc>
          <w:tcPr>
            <w:tcW w:w="10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5</w:t>
            </w:r>
          </w:p>
        </w:tc>
        <w:tc>
          <w:tcPr>
            <w:tcW w:w="10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≤9</w:t>
            </w:r>
            <w:r>
              <w:rPr>
                <w:rStyle w:val="10"/>
                <w:sz w:val="16"/>
                <w:szCs w:val="16"/>
                <w:lang w:val="en-US" w:eastAsia="zh-CN" w:bidi="ar"/>
              </w:rPr>
              <w:t>万元</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8.133</w:t>
            </w:r>
            <w:r>
              <w:rPr>
                <w:rStyle w:val="10"/>
                <w:sz w:val="16"/>
                <w:szCs w:val="16"/>
                <w:lang w:val="en-US" w:eastAsia="zh-CN" w:bidi="ar"/>
              </w:rPr>
              <w:t>万元</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10</w:t>
            </w:r>
          </w:p>
        </w:tc>
        <w:tc>
          <w:tcPr>
            <w:tcW w:w="106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16"/>
                <w:szCs w:val="16"/>
                <w:u w:val="none"/>
              </w:rPr>
            </w:pPr>
            <w:r>
              <w:rPr>
                <w:rFonts w:hint="default" w:ascii="Calibri" w:hAnsi="Calibri" w:eastAsia="宋体" w:cs="Calibri"/>
                <w:i w:val="0"/>
                <w:iCs w:val="0"/>
                <w:color w:val="000000"/>
                <w:kern w:val="0"/>
                <w:sz w:val="16"/>
                <w:szCs w:val="16"/>
                <w:u w:val="none"/>
                <w:lang w:val="en-US" w:eastAsia="zh-CN" w:bidi="ar"/>
              </w:rPr>
              <w:t>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127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16"/>
                <w:szCs w:val="16"/>
                <w:u w:val="none"/>
              </w:rPr>
            </w:pPr>
          </w:p>
        </w:tc>
        <w:tc>
          <w:tcPr>
            <w:tcW w:w="106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16"/>
                <w:szCs w:val="16"/>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0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受益学生数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6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受益教师数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6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65" w:type="dxa"/>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16"/>
                <w:szCs w:val="16"/>
                <w:u w:val="none"/>
              </w:rPr>
            </w:pPr>
          </w:p>
        </w:tc>
        <w:tc>
          <w:tcPr>
            <w:tcW w:w="106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16"/>
                <w:szCs w:val="16"/>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16"/>
                <w:szCs w:val="16"/>
                <w:u w:val="none"/>
              </w:rPr>
            </w:pPr>
          </w:p>
        </w:tc>
        <w:tc>
          <w:tcPr>
            <w:tcW w:w="106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16"/>
                <w:szCs w:val="16"/>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困难家庭幼儿教育负担得到缓解情况</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教师满意度</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家长满意度</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6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673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支出进度有待改进。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73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673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对资金支出计划没有进行统筹规划。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73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673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提前谋划资金用途，控制预算项目匀速支出。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73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01"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r>
    </w:tbl>
    <w:p>
      <w:pPr>
        <w:numPr>
          <w:ilvl w:val="0"/>
          <w:numId w:val="2"/>
        </w:num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幼儿生均公用项目绩效自评综述：根据年初设定的绩效目标，幼儿生均公用项目绩效自评得分为</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45.36</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45.36</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通过项目实施，完成了年初设定的各项绩效目标，主要用于支付日常公用经费，保障单位正常运行。未发现问题</w:t>
      </w:r>
      <w:r>
        <w:rPr>
          <w:rFonts w:hint="eastAsia" w:ascii="仿宋_GB2312" w:hAnsi="仿宋_GB2312" w:eastAsia="仿宋_GB2312" w:cs="仿宋_GB2312"/>
          <w:sz w:val="32"/>
          <w:szCs w:val="32"/>
          <w:highlight w:val="none"/>
          <w:lang w:eastAsia="zh-CN"/>
        </w:rPr>
        <w:t>。</w:t>
      </w:r>
    </w:p>
    <w:tbl>
      <w:tblPr>
        <w:tblStyle w:val="6"/>
        <w:tblW w:w="854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5"/>
        <w:gridCol w:w="924"/>
        <w:gridCol w:w="1035"/>
        <w:gridCol w:w="1095"/>
        <w:gridCol w:w="1395"/>
        <w:gridCol w:w="1215"/>
        <w:gridCol w:w="990"/>
        <w:gridCol w:w="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49" w:type="dxa"/>
            <w:gridSpan w:val="8"/>
            <w:tcBorders>
              <w:top w:val="nil"/>
              <w:left w:val="nil"/>
              <w:bottom w:val="nil"/>
              <w:right w:val="nil"/>
            </w:tcBorders>
            <w:shd w:val="clear" w:color="auto" w:fill="auto"/>
            <w:noWrap/>
            <w:vAlign w:val="center"/>
          </w:tcPr>
          <w:p>
            <w:pPr>
              <w:numPr>
                <w:ilvl w:val="0"/>
                <w:numId w:val="0"/>
              </w:numPr>
              <w:adjustRightInd w:val="0"/>
              <w:snapToGrid w:val="0"/>
              <w:spacing w:line="580" w:lineRule="exact"/>
              <w:rPr>
                <w:rFonts w:ascii="方正小标宋_GBK" w:hAnsi="方正小标宋_GBK" w:eastAsia="方正小标宋_GBK" w:cs="方正小标宋_GBK"/>
                <w:i w:val="0"/>
                <w:iCs w:val="0"/>
                <w:color w:val="000000"/>
                <w:sz w:val="32"/>
                <w:szCs w:val="32"/>
                <w:u w:val="none"/>
              </w:rPr>
            </w:pPr>
            <w:r>
              <w:rPr>
                <w:rFonts w:hint="eastAsia" w:ascii="仿宋_GB2312" w:hAnsi="仿宋_GB2312" w:eastAsia="仿宋_GB2312" w:cs="仿宋_GB2312"/>
                <w:sz w:val="32"/>
                <w:szCs w:val="32"/>
                <w:highlight w:val="none"/>
                <w:lang w:val="en-US" w:eastAsia="zh-CN"/>
              </w:rPr>
              <w:t xml:space="preserve">    </w:t>
            </w: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49" w:type="dxa"/>
            <w:gridSpan w:val="4"/>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填报单位：石家庄市藁城区育才幼儿园</w:t>
            </w:r>
          </w:p>
        </w:tc>
        <w:tc>
          <w:tcPr>
            <w:tcW w:w="139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1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890"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9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1337</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31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石家庄市藁城区育才幼儿园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663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幼儿生均公用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16"/>
                <w:szCs w:val="16"/>
                <w:u w:val="none"/>
                <w:lang w:val="en-US" w:eastAsia="zh-CN" w:bidi="ar"/>
              </w:rPr>
              <w:t>45.36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45.36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45.36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3054"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360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5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主要用于支付日常公用经费，保障单位正常运行</w:t>
            </w:r>
          </w:p>
        </w:tc>
        <w:tc>
          <w:tcPr>
            <w:tcW w:w="36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主要用于支付日常公用经费，保障单位正常运行</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5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6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5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6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92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03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09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1395"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1215"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购置专用设备数量</w:t>
            </w:r>
          </w:p>
        </w:tc>
        <w:tc>
          <w:tcPr>
            <w:tcW w:w="13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批</w:t>
            </w:r>
          </w:p>
        </w:tc>
        <w:tc>
          <w:tcPr>
            <w:tcW w:w="9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购置设备质量合格率</w:t>
            </w:r>
          </w:p>
        </w:tc>
        <w:tc>
          <w:tcPr>
            <w:tcW w:w="13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≥97%</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资金落实及完成情况</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基本及时</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年度生均公用经费人均金额</w:t>
            </w:r>
          </w:p>
        </w:tc>
        <w:tc>
          <w:tcPr>
            <w:tcW w:w="13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≥0.04</w:t>
            </w:r>
            <w:r>
              <w:rPr>
                <w:rStyle w:val="11"/>
                <w:rFonts w:ascii="宋体" w:hAnsi="宋体" w:eastAsia="宋体" w:cs="宋体"/>
                <w:sz w:val="24"/>
                <w:szCs w:val="24"/>
                <w:lang w:val="en-US" w:eastAsia="zh-CN" w:bidi="ar"/>
              </w:rPr>
              <w:t>万元</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0.063</w:t>
            </w:r>
            <w:r>
              <w:rPr>
                <w:rStyle w:val="11"/>
                <w:rFonts w:ascii="宋体" w:hAnsi="宋体" w:eastAsia="宋体" w:cs="宋体"/>
                <w:sz w:val="24"/>
                <w:szCs w:val="24"/>
                <w:lang w:val="en-US" w:eastAsia="zh-CN" w:bidi="ar"/>
              </w:rPr>
              <w:t>万元</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103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21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0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受益幼儿数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21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受益教师数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21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21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教师满意度</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家长满意度</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65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663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支出进度有待改进。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trPr>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6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663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对资金支出计划没有进行统筹规划。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6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663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提前谋划资金用途，控制预算项目匀速支出。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63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49"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r>
    </w:tbl>
    <w:p>
      <w:pPr>
        <w:numPr>
          <w:ilvl w:val="0"/>
          <w:numId w:val="2"/>
        </w:numPr>
        <w:adjustRightInd w:val="0"/>
        <w:snapToGrid w:val="0"/>
        <w:spacing w:line="58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教师培训费项目绩效自评综述：根据年初设定的绩效目标，教师培训费项目绩效自评得分为</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通过项目实施，完成了年初设定的各项绩效目标，主要开展幼儿沙盘游戏与业务能力培训。未发现问题</w:t>
      </w:r>
      <w:r>
        <w:rPr>
          <w:rFonts w:hint="eastAsia" w:ascii="仿宋_GB2312" w:hAnsi="仿宋_GB2312" w:eastAsia="仿宋_GB2312" w:cs="仿宋_GB2312"/>
          <w:sz w:val="32"/>
          <w:szCs w:val="32"/>
          <w:highlight w:val="none"/>
          <w:lang w:eastAsia="zh-CN"/>
        </w:rPr>
        <w:t>。</w:t>
      </w:r>
    </w:p>
    <w:tbl>
      <w:tblPr>
        <w:tblStyle w:val="6"/>
        <w:tblW w:w="856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4"/>
        <w:gridCol w:w="1170"/>
        <w:gridCol w:w="990"/>
        <w:gridCol w:w="1035"/>
        <w:gridCol w:w="690"/>
        <w:gridCol w:w="1020"/>
        <w:gridCol w:w="210"/>
        <w:gridCol w:w="645"/>
        <w:gridCol w:w="960"/>
        <w:gridCol w:w="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564"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164" w:type="dxa"/>
            <w:gridSpan w:val="3"/>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填报单位：石家庄市藁城区育才幼儿园</w:t>
            </w:r>
          </w:p>
        </w:tc>
        <w:tc>
          <w:tcPr>
            <w:tcW w:w="103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9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2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55" w:type="dxa"/>
            <w:gridSpan w:val="2"/>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1800"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04"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3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石家庄市藁城区育才幼儿园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63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教师培训费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0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04"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3195"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2565"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0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保障正常教育教学水平，促进教师业务能力提升。</w:t>
            </w:r>
          </w:p>
        </w:tc>
        <w:tc>
          <w:tcPr>
            <w:tcW w:w="256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开展幼儿沙盘游戏与业务能力培训</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0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0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1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6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04"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117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99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725"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102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855" w:type="dxa"/>
            <w:gridSpan w:val="2"/>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开展培训次数</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85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次</w:t>
            </w:r>
          </w:p>
        </w:tc>
        <w:tc>
          <w:tcPr>
            <w:tcW w:w="9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5次</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资金使用情况</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85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万元</w:t>
            </w:r>
          </w:p>
        </w:tc>
        <w:tc>
          <w:tcPr>
            <w:tcW w:w="9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万元</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2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55"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培训完成后的质量测评通过率</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85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资金落实及完成情况</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基本及时</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平均每名教师产生的培训费用</w:t>
            </w:r>
          </w:p>
        </w:tc>
        <w:tc>
          <w:tcPr>
            <w:tcW w:w="123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&lt;=0.03</w:t>
            </w:r>
            <w:r>
              <w:rPr>
                <w:rFonts w:hint="eastAsia" w:ascii="宋体" w:hAnsi="宋体" w:eastAsia="宋体" w:cs="宋体"/>
                <w:i w:val="0"/>
                <w:iCs w:val="0"/>
                <w:color w:val="000000"/>
                <w:kern w:val="0"/>
                <w:sz w:val="21"/>
                <w:szCs w:val="21"/>
                <w:u w:val="none"/>
                <w:lang w:val="en-US" w:eastAsia="zh-CN" w:bidi="ar"/>
              </w:rPr>
              <w:t>万元</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0.026</w:t>
            </w:r>
            <w:r>
              <w:rPr>
                <w:rFonts w:hint="eastAsia" w:ascii="宋体" w:hAnsi="宋体" w:eastAsia="宋体" w:cs="宋体"/>
                <w:i w:val="0"/>
                <w:iCs w:val="0"/>
                <w:color w:val="000000"/>
                <w:kern w:val="0"/>
                <w:sz w:val="21"/>
                <w:szCs w:val="21"/>
                <w:u w:val="none"/>
                <w:lang w:val="en-US" w:eastAsia="zh-CN" w:bidi="ar"/>
              </w:rPr>
              <w:t>万元</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9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99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4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享受培训教师人数</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≥60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725" w:type="dxa"/>
            <w:gridSpan w:val="2"/>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4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教师满意度</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72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16"/>
                <w:szCs w:val="16"/>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6390"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支出进度有待改进。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90"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6390"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对资金支出计划没有进行统筹规划。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90"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6390"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提前谋划资金用途，控制预算项目匀速支出。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90"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64"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r>
    </w:tbl>
    <w:p>
      <w:pPr>
        <w:numPr>
          <w:ilvl w:val="0"/>
          <w:numId w:val="2"/>
        </w:numPr>
        <w:adjustRightInd w:val="0"/>
        <w:snapToGrid w:val="0"/>
        <w:spacing w:line="58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lang w:eastAsia="zh-CN"/>
        </w:rPr>
        <w:t>工会</w:t>
      </w:r>
      <w:r>
        <w:rPr>
          <w:rFonts w:hint="eastAsia" w:ascii="仿宋_GB2312" w:hAnsi="仿宋_GB2312" w:eastAsia="仿宋_GB2312" w:cs="仿宋_GB2312"/>
          <w:sz w:val="32"/>
          <w:szCs w:val="32"/>
        </w:rPr>
        <w:t>费项目绩效自评综述：根据年初设定的绩效目标，</w:t>
      </w:r>
      <w:r>
        <w:rPr>
          <w:rFonts w:hint="eastAsia" w:ascii="仿宋_GB2312" w:hAnsi="仿宋_GB2312" w:eastAsia="仿宋_GB2312" w:cs="仿宋_GB2312"/>
          <w:sz w:val="32"/>
          <w:szCs w:val="32"/>
          <w:lang w:eastAsia="zh-CN"/>
        </w:rPr>
        <w:t>工会</w:t>
      </w:r>
      <w:r>
        <w:rPr>
          <w:rFonts w:hint="eastAsia" w:ascii="仿宋_GB2312" w:hAnsi="仿宋_GB2312" w:eastAsia="仿宋_GB2312" w:cs="仿宋_GB2312"/>
          <w:sz w:val="32"/>
          <w:szCs w:val="32"/>
        </w:rPr>
        <w:t>费项目绩效自评得分为</w:t>
      </w:r>
      <w:r>
        <w:rPr>
          <w:rFonts w:hint="eastAsia" w:ascii="仿宋_GB2312" w:hAnsi="仿宋_GB2312" w:eastAsia="仿宋_GB2312" w:cs="仿宋_GB2312"/>
          <w:sz w:val="32"/>
          <w:szCs w:val="32"/>
          <w:lang w:val="en-US" w:eastAsia="zh-CN"/>
        </w:rPr>
        <w:t>99</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1.794</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1.794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通过项目实施，完成了年初设定的各项绩效目标，主要组织工会活动。未发现问题</w:t>
      </w:r>
      <w:r>
        <w:rPr>
          <w:rFonts w:hint="eastAsia" w:ascii="仿宋_GB2312" w:hAnsi="仿宋_GB2312" w:eastAsia="仿宋_GB2312" w:cs="仿宋_GB2312"/>
          <w:sz w:val="32"/>
          <w:szCs w:val="32"/>
          <w:highlight w:val="none"/>
          <w:lang w:eastAsia="zh-CN"/>
        </w:rPr>
        <w:t>。</w:t>
      </w:r>
    </w:p>
    <w:tbl>
      <w:tblPr>
        <w:tblStyle w:val="6"/>
        <w:tblW w:w="847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9"/>
        <w:gridCol w:w="1365"/>
        <w:gridCol w:w="1110"/>
        <w:gridCol w:w="780"/>
        <w:gridCol w:w="1230"/>
        <w:gridCol w:w="591"/>
        <w:gridCol w:w="920"/>
        <w:gridCol w:w="819"/>
        <w:gridCol w:w="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471"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614" w:type="dxa"/>
            <w:gridSpan w:val="3"/>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填报单位：石家庄市藁城区育才幼儿园</w:t>
            </w:r>
          </w:p>
        </w:tc>
        <w:tc>
          <w:tcPr>
            <w:tcW w:w="78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3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9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2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1336"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13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1304</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284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石家庄市藁城区育才幼儿园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596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直属学校工会费（教育局代列）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16"/>
                <w:szCs w:val="16"/>
                <w:u w:val="none"/>
                <w:lang w:val="en-US" w:eastAsia="zh-CN" w:bidi="ar"/>
              </w:rPr>
              <w:t>1.794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1.794</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1.794</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3255"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274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保障教育工会活动正常开展，慰问教职工，提高教职工幸福指数。</w:t>
            </w:r>
          </w:p>
        </w:tc>
        <w:tc>
          <w:tcPr>
            <w:tcW w:w="274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组织教师体检；工会购置传统节日与党建活动演出服。</w:t>
            </w:r>
          </w:p>
        </w:tc>
        <w:tc>
          <w:tcPr>
            <w:tcW w:w="13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7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2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74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13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1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2010"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591"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92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享受福利人次</w:t>
            </w:r>
          </w:p>
        </w:tc>
        <w:tc>
          <w:tcPr>
            <w:tcW w:w="5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9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100人次</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102人次</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资金使用情况</w:t>
            </w:r>
          </w:p>
        </w:tc>
        <w:tc>
          <w:tcPr>
            <w:tcW w:w="5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9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1.794</w:t>
            </w:r>
            <w:r>
              <w:rPr>
                <w:rStyle w:val="13"/>
                <w:rFonts w:ascii="宋体" w:hAnsi="宋体" w:eastAsia="宋体" w:cs="宋体"/>
                <w:sz w:val="24"/>
                <w:szCs w:val="24"/>
                <w:lang w:val="en-US" w:eastAsia="zh-CN" w:bidi="ar"/>
              </w:rPr>
              <w:t>万元</w:t>
            </w:r>
          </w:p>
        </w:tc>
        <w:tc>
          <w:tcPr>
            <w:tcW w:w="81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1.794万元</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购置工会物品质量合格率</w:t>
            </w:r>
          </w:p>
        </w:tc>
        <w:tc>
          <w:tcPr>
            <w:tcW w:w="5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≥97%</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98%</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资金落实及完成情况</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基本及时</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平均每名教职工享受费用</w:t>
            </w:r>
          </w:p>
        </w:tc>
        <w:tc>
          <w:tcPr>
            <w:tcW w:w="5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&lt;=0.03</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0.028</w:t>
            </w:r>
            <w:r>
              <w:rPr>
                <w:rFonts w:hint="eastAsia" w:ascii="宋体" w:hAnsi="宋体" w:eastAsia="宋体" w:cs="宋体"/>
                <w:i w:val="0"/>
                <w:iCs w:val="0"/>
                <w:color w:val="000000"/>
                <w:kern w:val="0"/>
                <w:sz w:val="21"/>
                <w:szCs w:val="21"/>
                <w:u w:val="none"/>
                <w:lang w:val="en-US" w:eastAsia="zh-CN" w:bidi="ar"/>
              </w:rPr>
              <w:t>万元</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受益教师数</w:t>
            </w:r>
          </w:p>
        </w:tc>
        <w:tc>
          <w:tcPr>
            <w:tcW w:w="591" w:type="dxa"/>
            <w:tcBorders>
              <w:top w:val="single" w:color="000000" w:sz="4" w:space="0"/>
              <w:left w:val="nil"/>
              <w:bottom w:val="nil"/>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20"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81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63</w:t>
            </w:r>
          </w:p>
        </w:tc>
        <w:tc>
          <w:tcPr>
            <w:tcW w:w="5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2010" w:type="dxa"/>
            <w:gridSpan w:val="2"/>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教师幸福指数提高程度</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92%</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教职工满意度</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8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596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支出进度有待改进。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6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596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对资金支出计划没有进行统筹规划。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6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596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提前谋划资金用途，控制预算项目匀速支出。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6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471"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r>
    </w:tbl>
    <w:p>
      <w:pPr>
        <w:numPr>
          <w:ilvl w:val="0"/>
          <w:numId w:val="2"/>
        </w:num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福利</w:t>
      </w:r>
      <w:r>
        <w:rPr>
          <w:rFonts w:hint="eastAsia" w:ascii="仿宋_GB2312" w:hAnsi="仿宋_GB2312" w:eastAsia="仿宋_GB2312" w:cs="仿宋_GB2312"/>
          <w:sz w:val="32"/>
          <w:szCs w:val="32"/>
        </w:rPr>
        <w:t>费项目绩效自评综述：根据年初设定的绩效目标，</w:t>
      </w:r>
      <w:r>
        <w:rPr>
          <w:rFonts w:hint="eastAsia" w:ascii="仿宋_GB2312" w:hAnsi="仿宋_GB2312" w:eastAsia="仿宋_GB2312" w:cs="仿宋_GB2312"/>
          <w:sz w:val="32"/>
          <w:szCs w:val="32"/>
          <w:lang w:eastAsia="zh-CN"/>
        </w:rPr>
        <w:t>福利</w:t>
      </w:r>
      <w:r>
        <w:rPr>
          <w:rFonts w:hint="eastAsia" w:ascii="仿宋_GB2312" w:hAnsi="仿宋_GB2312" w:eastAsia="仿宋_GB2312" w:cs="仿宋_GB2312"/>
          <w:sz w:val="32"/>
          <w:szCs w:val="32"/>
        </w:rPr>
        <w:t>费项目绩效自评得分为</w:t>
      </w:r>
      <w:r>
        <w:rPr>
          <w:rFonts w:hint="eastAsia" w:ascii="仿宋_GB2312" w:hAnsi="仿宋_GB2312" w:eastAsia="仿宋_GB2312" w:cs="仿宋_GB2312"/>
          <w:sz w:val="32"/>
          <w:szCs w:val="32"/>
          <w:lang w:val="en-US" w:eastAsia="zh-CN"/>
        </w:rPr>
        <w:t>99</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1.68</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1.68</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通过项目实施，完成了年初设定的各项绩效目标，</w:t>
      </w:r>
      <w:r>
        <w:rPr>
          <w:rFonts w:hint="eastAsia" w:ascii="仿宋_GB2312" w:hAnsi="仿宋_GB2312" w:eastAsia="仿宋_GB2312" w:cs="仿宋_GB2312"/>
          <w:sz w:val="32"/>
          <w:szCs w:val="32"/>
          <w:highlight w:val="none"/>
          <w:lang w:val="en-US" w:eastAsia="zh-CN"/>
        </w:rPr>
        <w:t>全体教师均享受体检与节日福利</w:t>
      </w:r>
      <w:r>
        <w:rPr>
          <w:rFonts w:hint="eastAsia" w:ascii="仿宋_GB2312" w:hAnsi="仿宋_GB2312" w:eastAsia="仿宋_GB2312" w:cs="仿宋_GB2312"/>
          <w:sz w:val="32"/>
          <w:szCs w:val="32"/>
          <w:highlight w:val="none"/>
        </w:rPr>
        <w:t>。未发现问题</w:t>
      </w:r>
      <w:r>
        <w:rPr>
          <w:rFonts w:hint="eastAsia" w:ascii="仿宋_GB2312" w:hAnsi="仿宋_GB2312" w:eastAsia="仿宋_GB2312" w:cs="仿宋_GB2312"/>
          <w:sz w:val="32"/>
          <w:szCs w:val="32"/>
          <w:highlight w:val="none"/>
          <w:lang w:eastAsia="zh-CN"/>
        </w:rPr>
        <w:t>。</w:t>
      </w:r>
    </w:p>
    <w:tbl>
      <w:tblPr>
        <w:tblStyle w:val="6"/>
        <w:tblW w:w="855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9"/>
        <w:gridCol w:w="1365"/>
        <w:gridCol w:w="1185"/>
        <w:gridCol w:w="1015"/>
        <w:gridCol w:w="919"/>
        <w:gridCol w:w="570"/>
        <w:gridCol w:w="960"/>
        <w:gridCol w:w="856"/>
        <w:gridCol w:w="5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51" w:type="dxa"/>
            <w:gridSpan w:val="9"/>
            <w:tcBorders>
              <w:top w:val="nil"/>
              <w:left w:val="nil"/>
              <w:bottom w:val="nil"/>
              <w:right w:val="nil"/>
            </w:tcBorders>
            <w:shd w:val="clear" w:color="auto" w:fill="auto"/>
            <w:noWrap/>
            <w:vAlign w:val="center"/>
          </w:tcPr>
          <w:p>
            <w:pPr>
              <w:numPr>
                <w:ilvl w:val="0"/>
                <w:numId w:val="0"/>
              </w:numPr>
              <w:adjustRightInd w:val="0"/>
              <w:snapToGrid w:val="0"/>
              <w:spacing w:line="580" w:lineRule="exact"/>
              <w:ind w:firstLine="1280" w:firstLineChars="400"/>
              <w:rPr>
                <w:rFonts w:hint="eastAsia" w:ascii="宋体" w:hAnsi="宋体" w:eastAsia="宋体" w:cs="宋体"/>
                <w:i w:val="0"/>
                <w:iCs w:val="0"/>
                <w:color w:val="000000"/>
                <w:kern w:val="0"/>
                <w:sz w:val="16"/>
                <w:szCs w:val="16"/>
                <w:u w:val="none"/>
                <w:lang w:val="en-US" w:eastAsia="zh-CN" w:bidi="ar"/>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689" w:type="dxa"/>
            <w:gridSpan w:val="3"/>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填报单位：石家庄市藁城区育才幼儿园</w:t>
            </w:r>
          </w:p>
        </w:tc>
        <w:tc>
          <w:tcPr>
            <w:tcW w:w="101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1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5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6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1398"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13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2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1303</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29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石家庄市藁城区育才幼儿园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604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直属学校福利费（教育局代列）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3565"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244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56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保障教职工正常享受福利待遇，提高教职工幸福指数。</w:t>
            </w:r>
          </w:p>
        </w:tc>
        <w:tc>
          <w:tcPr>
            <w:tcW w:w="244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全体教师均享受体检与节日福利。</w:t>
            </w:r>
          </w:p>
        </w:tc>
        <w:tc>
          <w:tcPr>
            <w:tcW w:w="13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56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4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56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4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136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1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934"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57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96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享受福利人次</w:t>
            </w:r>
          </w:p>
        </w:tc>
        <w:tc>
          <w:tcPr>
            <w:tcW w:w="5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9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100人次</w:t>
            </w:r>
          </w:p>
        </w:tc>
        <w:tc>
          <w:tcPr>
            <w:tcW w:w="85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102人次</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资金使用情况</w:t>
            </w:r>
          </w:p>
        </w:tc>
        <w:tc>
          <w:tcPr>
            <w:tcW w:w="5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9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1.68</w:t>
            </w:r>
            <w:r>
              <w:rPr>
                <w:rFonts w:hint="eastAsia" w:ascii="宋体" w:hAnsi="宋体" w:eastAsia="宋体" w:cs="宋体"/>
                <w:i w:val="0"/>
                <w:iCs w:val="0"/>
                <w:color w:val="000000"/>
                <w:kern w:val="0"/>
                <w:sz w:val="21"/>
                <w:szCs w:val="21"/>
                <w:u w:val="none"/>
                <w:lang w:val="en-US" w:eastAsia="zh-CN" w:bidi="ar"/>
              </w:rPr>
              <w:t>万元</w:t>
            </w:r>
          </w:p>
        </w:tc>
        <w:tc>
          <w:tcPr>
            <w:tcW w:w="85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1.68</w:t>
            </w:r>
            <w:r>
              <w:rPr>
                <w:rFonts w:hint="eastAsia" w:ascii="宋体" w:hAnsi="宋体" w:eastAsia="宋体" w:cs="宋体"/>
                <w:i w:val="0"/>
                <w:iCs w:val="0"/>
                <w:color w:val="000000"/>
                <w:kern w:val="0"/>
                <w:sz w:val="21"/>
                <w:szCs w:val="21"/>
                <w:u w:val="none"/>
                <w:lang w:val="en-US" w:eastAsia="zh-CN" w:bidi="ar"/>
              </w:rPr>
              <w:t>万元</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购置福利物品质量合格率</w:t>
            </w:r>
          </w:p>
        </w:tc>
        <w:tc>
          <w:tcPr>
            <w:tcW w:w="5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≥97%</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99%</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资金落实及完成情况</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基本及时</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平均每名教职工享受费用</w:t>
            </w:r>
          </w:p>
        </w:tc>
        <w:tc>
          <w:tcPr>
            <w:tcW w:w="57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&lt;=0.02</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0.016</w:t>
            </w:r>
            <w:r>
              <w:rPr>
                <w:rFonts w:hint="eastAsia" w:ascii="宋体" w:hAnsi="宋体" w:eastAsia="宋体" w:cs="宋体"/>
                <w:i w:val="0"/>
                <w:iCs w:val="0"/>
                <w:color w:val="000000"/>
                <w:kern w:val="0"/>
                <w:sz w:val="21"/>
                <w:szCs w:val="21"/>
                <w:u w:val="none"/>
                <w:lang w:val="en-US" w:eastAsia="zh-CN" w:bidi="ar"/>
              </w:rPr>
              <w:t>万元</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11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118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6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受益教师数</w:t>
            </w:r>
          </w:p>
        </w:tc>
        <w:tc>
          <w:tcPr>
            <w:tcW w:w="570" w:type="dxa"/>
            <w:tcBorders>
              <w:top w:val="single" w:color="000000" w:sz="4" w:space="0"/>
              <w:left w:val="nil"/>
              <w:bottom w:val="nil"/>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60"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8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63</w:t>
            </w:r>
          </w:p>
        </w:tc>
        <w:tc>
          <w:tcPr>
            <w:tcW w:w="54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934" w:type="dxa"/>
            <w:gridSpan w:val="2"/>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6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教师幸福指数提高程度</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92%</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教职工满意度</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8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5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604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支出进度有待改进。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4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604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对资金支出计划没有进行统筹规划。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4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604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提前谋划资金用途，控制预算项目匀速支出。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4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551"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r>
    </w:tbl>
    <w:p>
      <w:pPr>
        <w:numPr>
          <w:ilvl w:val="0"/>
          <w:numId w:val="2"/>
        </w:num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学校风险管控与隐患治理专家资金</w:t>
      </w:r>
      <w:r>
        <w:rPr>
          <w:rFonts w:hint="eastAsia" w:ascii="仿宋_GB2312" w:hAnsi="仿宋_GB2312" w:eastAsia="仿宋_GB2312" w:cs="仿宋_GB2312"/>
          <w:sz w:val="32"/>
          <w:szCs w:val="32"/>
        </w:rPr>
        <w:t>项目绩效自评综述：根据年初设定的绩效目标，学校风险管控与隐患治理专家资金项目绩效自评得分为</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0.55</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0.55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通过项目实施，完成了年初设定的各项绩效目标，</w:t>
      </w:r>
      <w:r>
        <w:rPr>
          <w:rFonts w:hint="eastAsia" w:ascii="仿宋_GB2312" w:hAnsi="仿宋_GB2312" w:eastAsia="仿宋_GB2312" w:cs="仿宋_GB2312"/>
          <w:sz w:val="32"/>
          <w:szCs w:val="32"/>
          <w:highlight w:val="none"/>
          <w:lang w:val="en-US" w:eastAsia="zh-CN"/>
        </w:rPr>
        <w:t>开展校园安全“双控”机制技术建设</w:t>
      </w:r>
      <w:r>
        <w:rPr>
          <w:rFonts w:hint="eastAsia" w:ascii="仿宋_GB2312" w:hAnsi="仿宋_GB2312" w:eastAsia="仿宋_GB2312" w:cs="仿宋_GB2312"/>
          <w:sz w:val="32"/>
          <w:szCs w:val="32"/>
          <w:highlight w:val="none"/>
        </w:rPr>
        <w:t>。未发现问题</w:t>
      </w:r>
      <w:r>
        <w:rPr>
          <w:rFonts w:hint="eastAsia" w:ascii="仿宋_GB2312" w:hAnsi="仿宋_GB2312" w:eastAsia="仿宋_GB2312" w:cs="仿宋_GB2312"/>
          <w:sz w:val="32"/>
          <w:szCs w:val="32"/>
          <w:highlight w:val="none"/>
          <w:lang w:eastAsia="zh-CN"/>
        </w:rPr>
        <w:t>。</w:t>
      </w:r>
    </w:p>
    <w:tbl>
      <w:tblPr>
        <w:tblStyle w:val="6"/>
        <w:tblW w:w="87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40"/>
        <w:gridCol w:w="1194"/>
        <w:gridCol w:w="1185"/>
        <w:gridCol w:w="969"/>
        <w:gridCol w:w="606"/>
        <w:gridCol w:w="697"/>
        <w:gridCol w:w="994"/>
        <w:gridCol w:w="886"/>
        <w:gridCol w:w="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730"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填报单位：石家庄市藁城区育才幼儿园</w:t>
            </w:r>
          </w:p>
        </w:tc>
        <w:tc>
          <w:tcPr>
            <w:tcW w:w="119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8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6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0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9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94"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144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64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1289</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313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石家庄市藁城区育才幼儿园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589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学校风险管控与隐患治理专家资金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0.55</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0.55</w:t>
            </w:r>
          </w:p>
        </w:tc>
        <w:tc>
          <w:tcPr>
            <w:tcW w:w="9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0.55</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4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3348"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229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4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开展幼儿园风险管控与隐患治理建设</w:t>
            </w:r>
          </w:p>
        </w:tc>
        <w:tc>
          <w:tcPr>
            <w:tcW w:w="229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开展校园安全“双控”机制技术建设</w:t>
            </w:r>
          </w:p>
        </w:tc>
        <w:tc>
          <w:tcPr>
            <w:tcW w:w="14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29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3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29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119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1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575"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697"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994"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开展技术建设服务次数</w:t>
            </w:r>
          </w:p>
        </w:tc>
        <w:tc>
          <w:tcPr>
            <w:tcW w:w="6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99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1次</w:t>
            </w:r>
          </w:p>
        </w:tc>
        <w:tc>
          <w:tcPr>
            <w:tcW w:w="88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1次</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资金使用情况</w:t>
            </w:r>
          </w:p>
        </w:tc>
        <w:tc>
          <w:tcPr>
            <w:tcW w:w="6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99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0.55</w:t>
            </w:r>
            <w:r>
              <w:rPr>
                <w:rFonts w:hint="eastAsia" w:ascii="宋体" w:hAnsi="宋体" w:eastAsia="宋体" w:cs="宋体"/>
                <w:i w:val="0"/>
                <w:iCs w:val="0"/>
                <w:color w:val="000000"/>
                <w:kern w:val="0"/>
                <w:sz w:val="24"/>
                <w:szCs w:val="24"/>
                <w:u w:val="none"/>
                <w:lang w:val="en-US" w:eastAsia="zh-CN" w:bidi="ar"/>
              </w:rPr>
              <w:t>万元</w:t>
            </w:r>
          </w:p>
        </w:tc>
        <w:tc>
          <w:tcPr>
            <w:tcW w:w="88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0.55</w:t>
            </w:r>
            <w:r>
              <w:rPr>
                <w:rFonts w:hint="eastAsia" w:ascii="宋体" w:hAnsi="宋体" w:eastAsia="宋体" w:cs="宋体"/>
                <w:i w:val="0"/>
                <w:iCs w:val="0"/>
                <w:color w:val="000000"/>
                <w:kern w:val="0"/>
                <w:sz w:val="24"/>
                <w:szCs w:val="24"/>
                <w:u w:val="none"/>
                <w:lang w:val="en-US" w:eastAsia="zh-CN" w:bidi="ar"/>
              </w:rPr>
              <w:t>万元</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双控警示牌质量合格率</w:t>
            </w:r>
          </w:p>
        </w:tc>
        <w:tc>
          <w:tcPr>
            <w:tcW w:w="6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9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≥97%</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资金落实及完成情况</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基本及时</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单次服务成本</w:t>
            </w:r>
          </w:p>
        </w:tc>
        <w:tc>
          <w:tcPr>
            <w:tcW w:w="6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9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&lt;=0.55</w:t>
            </w:r>
            <w:r>
              <w:rPr>
                <w:rFonts w:hint="eastAsia" w:ascii="宋体" w:hAnsi="宋体" w:eastAsia="宋体" w:cs="宋体"/>
                <w:i w:val="0"/>
                <w:iCs w:val="0"/>
                <w:color w:val="000000"/>
                <w:kern w:val="0"/>
                <w:sz w:val="21"/>
                <w:szCs w:val="21"/>
                <w:u w:val="none"/>
                <w:lang w:val="en-US" w:eastAsia="zh-CN" w:bidi="ar"/>
              </w:rPr>
              <w:t>万元</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0.55</w:t>
            </w:r>
            <w:r>
              <w:rPr>
                <w:rFonts w:hint="eastAsia" w:ascii="宋体" w:hAnsi="宋体" w:eastAsia="宋体" w:cs="宋体"/>
                <w:i w:val="0"/>
                <w:iCs w:val="0"/>
                <w:color w:val="000000"/>
                <w:kern w:val="0"/>
                <w:sz w:val="21"/>
                <w:szCs w:val="21"/>
                <w:u w:val="none"/>
                <w:lang w:val="en-US" w:eastAsia="zh-CN" w:bidi="ar"/>
              </w:rPr>
              <w:t>万元</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11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9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118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57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受益幼儿数</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9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724</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受益教师数</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9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63</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697" w:type="dxa"/>
            <w:tcBorders>
              <w:top w:val="nil"/>
              <w:left w:val="nil"/>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4" w:type="dxa"/>
            <w:tcBorders>
              <w:top w:val="nil"/>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86" w:type="dxa"/>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59"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575" w:type="dxa"/>
            <w:gridSpan w:val="2"/>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幼儿园安全管理工作改进程度</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91%</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教师满意度</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家长满意度</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5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11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589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支出进度有待改进。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89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589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对资金支出计划没有进行统筹规划。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89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589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提前谋划资金用途，控制预算项目匀速支出。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89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3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r>
    </w:tbl>
    <w:p>
      <w:pPr>
        <w:adjustRightInd w:val="0"/>
        <w:snapToGrid w:val="0"/>
        <w:spacing w:line="580" w:lineRule="exact"/>
        <w:ind w:left="420" w:leftChars="200" w:firstLine="321" w:firstLineChars="1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（三）财政评价项目绩效评价结果</w:t>
      </w:r>
    </w:p>
    <w:p>
      <w:pPr>
        <w:pStyle w:val="14"/>
        <w:spacing w:line="500" w:lineRule="exact"/>
        <w:ind w:firstLine="640"/>
        <w:rPr>
          <w:rFonts w:hint="eastAsia" w:ascii="仿宋" w:hAnsi="仿宋" w:eastAsia="仿宋" w:cs="仿宋"/>
          <w:sz w:val="32"/>
          <w:szCs w:val="32"/>
        </w:rPr>
      </w:pPr>
      <w:r>
        <w:rPr>
          <w:rFonts w:hint="eastAsia" w:ascii="仿宋" w:hAnsi="仿宋" w:eastAsia="仿宋" w:cs="仿宋"/>
          <w:sz w:val="32"/>
          <w:szCs w:val="32"/>
        </w:rPr>
        <w:t>针对不足，我们将继续努力不断健全制度，完善政策、改进管理、优化流程不断提高</w:t>
      </w:r>
      <w:r>
        <w:rPr>
          <w:rFonts w:hint="eastAsia" w:ascii="仿宋" w:hAnsi="仿宋" w:eastAsia="仿宋" w:cs="仿宋"/>
          <w:sz w:val="32"/>
          <w:szCs w:val="32"/>
          <w:lang w:eastAsia="zh-CN"/>
        </w:rPr>
        <w:t>单位</w:t>
      </w:r>
      <w:r>
        <w:rPr>
          <w:rFonts w:hint="eastAsia" w:ascii="仿宋" w:hAnsi="仿宋" w:eastAsia="仿宋" w:cs="仿宋"/>
          <w:sz w:val="32"/>
          <w:szCs w:val="32"/>
        </w:rPr>
        <w:t>绩效管理水平。具体如下：</w:t>
      </w:r>
    </w:p>
    <w:p>
      <w:pPr>
        <w:pStyle w:val="14"/>
        <w:spacing w:line="500" w:lineRule="exact"/>
        <w:ind w:firstLine="640"/>
        <w:rPr>
          <w:rFonts w:hint="eastAsia" w:ascii="仿宋" w:hAnsi="仿宋" w:eastAsia="仿宋" w:cs="仿宋"/>
          <w:sz w:val="32"/>
          <w:szCs w:val="32"/>
        </w:rPr>
      </w:pPr>
      <w:r>
        <w:rPr>
          <w:rFonts w:hint="eastAsia" w:ascii="仿宋" w:hAnsi="仿宋" w:eastAsia="仿宋" w:cs="仿宋"/>
          <w:sz w:val="32"/>
          <w:szCs w:val="32"/>
        </w:rPr>
        <w:t>（1）不断学习新知识，努力接收新政策，提前预测，科学把控，全面预算。</w:t>
      </w:r>
    </w:p>
    <w:p>
      <w:pPr>
        <w:pStyle w:val="14"/>
        <w:numPr>
          <w:ilvl w:val="0"/>
          <w:numId w:val="0"/>
        </w:numPr>
        <w:spacing w:line="500" w:lineRule="exact"/>
        <w:ind w:firstLine="640" w:firstLineChars="200"/>
        <w:rPr>
          <w:rFonts w:hint="eastAsia" w:ascii="仿宋_GB2312" w:hAnsi="仿宋_GB2312" w:eastAsia="仿宋_GB2312" w:cs="仿宋_GB2312"/>
          <w:b/>
          <w:bCs/>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找准定位，既要保证政策全面落实，不折不扣，又要保证资金有效利用，不会浪费。</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hint="eastAsia" w:ascii="仿宋_GB2312" w:hAnsi="Times New Roman" w:eastAsia="仿宋_GB2312" w:cs="DengXian-Regular"/>
          <w:sz w:val="32"/>
          <w:szCs w:val="32"/>
          <w:highlight w:val="none"/>
          <w:lang w:eastAsia="zh-CN"/>
        </w:rPr>
      </w:pPr>
      <w:r>
        <w:rPr>
          <w:rFonts w:hint="eastAsia" w:ascii="仿宋_GB2312" w:hAnsi="Times New Roman" w:eastAsia="仿宋_GB2312" w:cs="DengXian-Regular"/>
          <w:sz w:val="32"/>
          <w:szCs w:val="32"/>
          <w:highlight w:val="none"/>
          <w:lang w:eastAsia="zh-CN"/>
        </w:rPr>
        <w:t>本单位为</w:t>
      </w:r>
      <w:r>
        <w:rPr>
          <w:rFonts w:hint="eastAsia" w:ascii="仿宋_GB2312" w:hAnsi="Times New Roman" w:eastAsia="仿宋_GB2312" w:cs="DengXian-Regular"/>
          <w:sz w:val="32"/>
          <w:szCs w:val="32"/>
          <w:highlight w:val="none"/>
        </w:rPr>
        <w:t>事业单位</w:t>
      </w:r>
      <w:r>
        <w:rPr>
          <w:rFonts w:hint="eastAsia" w:ascii="仿宋_GB2312" w:hAnsi="Times New Roman" w:eastAsia="仿宋_GB2312" w:cs="DengXian-Regular"/>
          <w:sz w:val="32"/>
          <w:szCs w:val="32"/>
          <w:highlight w:val="none"/>
          <w:lang w:eastAsia="zh-CN"/>
        </w:rPr>
        <w:t>，</w:t>
      </w:r>
      <w:r>
        <w:rPr>
          <w:rFonts w:hint="eastAsia" w:ascii="仿宋_GB2312" w:hAnsi="Times New Roman" w:eastAsia="仿宋_GB2312" w:cs="DengXian-Regular"/>
          <w:sz w:val="32"/>
          <w:szCs w:val="32"/>
          <w:highlight w:val="none"/>
        </w:rPr>
        <w:t>无机关运行经费</w:t>
      </w:r>
      <w:r>
        <w:rPr>
          <w:rFonts w:hint="eastAsia" w:ascii="仿宋_GB2312" w:hAnsi="Times New Roman" w:eastAsia="仿宋_GB2312" w:cs="DengXian-Regular"/>
          <w:sz w:val="32"/>
          <w:szCs w:val="32"/>
          <w:highlight w:val="none"/>
          <w:lang w:eastAsia="zh-CN"/>
        </w:rPr>
        <w:t>。</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ascii="仿宋_GB2312" w:hAnsi="仿宋_GB2312" w:eastAsia="仿宋_GB2312" w:cs="仿宋_GB2312"/>
          <w:color w:val="000000"/>
          <w:kern w:val="0"/>
          <w:sz w:val="32"/>
          <w:szCs w:val="32"/>
          <w:lang w:bidi="ar"/>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2021年度政府采购支出总额</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 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万元、政府采购服务支出 </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bookmarkStart w:id="0" w:name="_GoBack"/>
      <w:bookmarkEnd w:id="0"/>
      <w:r>
        <w:rPr>
          <w:rFonts w:ascii="仿宋_GB2312" w:hAnsi="仿宋_GB2312" w:eastAsia="仿宋_GB2312" w:cs="仿宋_GB2312"/>
          <w:color w:val="000000"/>
          <w:kern w:val="0"/>
          <w:sz w:val="32"/>
          <w:szCs w:val="32"/>
          <w:lang w:bidi="ar"/>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截至2021年12月31日，本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辆，主要是</w:t>
      </w:r>
      <w:r>
        <w:rPr>
          <w:rFonts w:hint="eastAsia" w:ascii="仿宋_GB2312" w:hAnsi="Times New Roman" w:eastAsia="仿宋_GB2312" w:cs="DengXian-Regular"/>
          <w:sz w:val="32"/>
          <w:szCs w:val="32"/>
          <w:lang w:eastAsia="zh-CN"/>
        </w:rPr>
        <w:t>本单位无公务用车</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仿宋" w:hAnsi="仿宋" w:eastAsia="仿宋" w:cs="仿宋"/>
          <w:sz w:val="32"/>
          <w:szCs w:val="32"/>
        </w:rPr>
        <w:t>没有单位价值50万元以上通用设备</w:t>
      </w:r>
      <w:r>
        <w:rPr>
          <w:rFonts w:hint="eastAsia" w:ascii="仿宋_GB2312" w:hAnsi="Times New Roman" w:eastAsia="仿宋_GB2312" w:cs="DengXian-Regular"/>
          <w:sz w:val="32"/>
          <w:szCs w:val="32"/>
        </w:rPr>
        <w:t xml:space="preserve"> ，单位价值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仿宋" w:hAnsi="仿宋" w:eastAsia="仿宋" w:cs="仿宋"/>
          <w:sz w:val="32"/>
          <w:szCs w:val="32"/>
        </w:rPr>
        <w:t>没有单位价值100万元以上专用设备</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 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2021年度政府性基金预算</w:t>
      </w:r>
      <w:r>
        <w:rPr>
          <w:rFonts w:hint="eastAsia" w:ascii="仿宋_GB2312" w:hAnsi="Times New Roman" w:eastAsia="仿宋_GB2312" w:cs="DengXian-Regular"/>
          <w:sz w:val="32"/>
          <w:szCs w:val="32"/>
          <w:lang w:eastAsia="zh-CN"/>
        </w:rPr>
        <w:t>、</w:t>
      </w:r>
      <w:r>
        <w:rPr>
          <w:rFonts w:hint="eastAsia" w:ascii="仿宋_GB2312" w:hAnsi="仿宋_GB2312" w:eastAsia="仿宋_GB2312" w:cs="仿宋_GB2312"/>
          <w:sz w:val="32"/>
          <w:szCs w:val="32"/>
        </w:rPr>
        <w:t>国有资金经营预算</w:t>
      </w:r>
      <w:r>
        <w:rPr>
          <w:rFonts w:hint="eastAsia" w:ascii="仿宋_GB2312" w:hAnsi="Times New Roman" w:eastAsia="仿宋_GB2312" w:cs="DengXian-Regular"/>
          <w:sz w:val="32"/>
          <w:szCs w:val="32"/>
        </w:rPr>
        <w:t>无收支及结转结余情况，故政府性基金预算财政拨款收入支出决算表</w:t>
      </w:r>
      <w:r>
        <w:rPr>
          <w:rFonts w:hint="eastAsia" w:ascii="仿宋_GB2312" w:hAnsi="Times New Roman" w:eastAsia="仿宋_GB2312" w:cs="DengXian-Regular"/>
          <w:sz w:val="32"/>
          <w:szCs w:val="32"/>
          <w:lang w:eastAsia="zh-CN"/>
        </w:rPr>
        <w:t>、国有资本经营预算财政拨款支出决算表</w:t>
      </w:r>
      <w:r>
        <w:rPr>
          <w:rFonts w:hint="eastAsia" w:ascii="仿宋_GB2312" w:hAnsi="Times New Roman" w:eastAsia="仿宋_GB2312" w:cs="DengXian-Regular"/>
          <w:sz w:val="32"/>
          <w:szCs w:val="32"/>
        </w:rPr>
        <w:t>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653415</wp:posOffset>
            </wp:positionH>
            <wp:positionV relativeFrom="margin">
              <wp:posOffset>2609215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640080" cy="640080"/>
                    </a:xfrm>
                    <a:prstGeom prst="rect">
                      <a:avLst/>
                    </a:prstGeom>
                  </pic:spPr>
                </pic:pic>
              </a:graphicData>
            </a:graphic>
          </wp:anchor>
        </w:drawing>
      </w:r>
      <w:r>
        <w:rPr>
          <w:rFonts w:hint="eastAsia" w:ascii="黑体" w:hAnsi="黑体" w:eastAsia="黑体" w:cs="黑体"/>
          <w:color w:val="444444"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hint="eastAsia" w:ascii="仿宋_GB2312" w:hAnsi="Cambria" w:eastAsia="仿宋_GB2312" w:cs="ArialUnicodeMS"/>
          <w:kern w:val="0"/>
          <w:sz w:val="32"/>
          <w:szCs w:val="32"/>
          <w:lang w:eastAsia="zh-CN"/>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r>
        <w:rPr>
          <w:rFonts w:hint="eastAsia" w:ascii="仿宋_GB2312" w:hAnsi="Cambria" w:eastAsia="仿宋_GB2312" w:cs="ArialUnicodeMS"/>
          <w:kern w:val="0"/>
          <w:sz w:val="32"/>
          <w:szCs w:val="32"/>
          <w:lang w:eastAsia="zh-CN"/>
        </w:rPr>
        <w:t>。</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UnicodeMS">
    <w:altName w:val="Malgun Gothic"/>
    <w:panose1 w:val="00000000000000000000"/>
    <w:charset w:val="81"/>
    <w:family w:val="auto"/>
    <w:pitch w:val="default"/>
    <w:sig w:usb0="00000000" w:usb1="00000000" w:usb2="00000010" w:usb3="00000000" w:csb0="00080001" w:csb1="00000000"/>
  </w:font>
  <w:font w:name="Malgun Gothic">
    <w:panose1 w:val="020B0503020000020004"/>
    <w:charset w:val="81"/>
    <w:family w:val="auto"/>
    <w:pitch w:val="default"/>
    <w:sig w:usb0="900002AF" w:usb1="01D77CFB" w:usb2="00000012" w:usb3="00000000" w:csb0="00080001" w:csb1="00000000"/>
  </w:font>
  <w:font w:name="Cambria">
    <w:panose1 w:val="02040503050406030204"/>
    <w:charset w:val="00"/>
    <w:family w:val="roman"/>
    <w:pitch w:val="default"/>
    <w:sig w:usb0="E00002FF" w:usb1="400004FF" w:usb2="00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DB9A87"/>
    <w:multiLevelType w:val="singleLevel"/>
    <w:tmpl w:val="45DB9A87"/>
    <w:lvl w:ilvl="0" w:tentative="0">
      <w:start w:val="3"/>
      <w:numFmt w:val="chineseCounting"/>
      <w:suff w:val="nothing"/>
      <w:lvlText w:val="（%1）"/>
      <w:lvlJc w:val="left"/>
      <w:rPr>
        <w:rFonts w:hint="eastAsia"/>
      </w:rPr>
    </w:lvl>
  </w:abstractNum>
  <w:abstractNum w:abstractNumId="1">
    <w:nsid w:val="5F222FFA"/>
    <w:multiLevelType w:val="singleLevel"/>
    <w:tmpl w:val="5F222FF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OTAsImhkaWQiOiI4ZGFhNGViOGY1YTliMzgyYmVjMTBjYzk1OTQ4ZDU3ZiIsInVzZXJDb3VudCI6MX0="/>
  </w:docVars>
  <w:rsids>
    <w:rsidRoot w:val="00172A27"/>
    <w:rsid w:val="000031F7"/>
    <w:rsid w:val="00014862"/>
    <w:rsid w:val="00172A27"/>
    <w:rsid w:val="004550B9"/>
    <w:rsid w:val="0051575E"/>
    <w:rsid w:val="005B2633"/>
    <w:rsid w:val="00663586"/>
    <w:rsid w:val="007B4464"/>
    <w:rsid w:val="00896712"/>
    <w:rsid w:val="008E5668"/>
    <w:rsid w:val="009718A8"/>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2F2691F"/>
    <w:rsid w:val="032B09E8"/>
    <w:rsid w:val="05273E55"/>
    <w:rsid w:val="06EB1AB6"/>
    <w:rsid w:val="09540C99"/>
    <w:rsid w:val="099D6B31"/>
    <w:rsid w:val="09FD66D9"/>
    <w:rsid w:val="0DA205F4"/>
    <w:rsid w:val="0EFB5C23"/>
    <w:rsid w:val="0F816BBB"/>
    <w:rsid w:val="10B242CF"/>
    <w:rsid w:val="11C342C1"/>
    <w:rsid w:val="11F4604E"/>
    <w:rsid w:val="136D16FB"/>
    <w:rsid w:val="13AA21BF"/>
    <w:rsid w:val="17C62276"/>
    <w:rsid w:val="18E1409A"/>
    <w:rsid w:val="1A3D2C72"/>
    <w:rsid w:val="1CCE26B8"/>
    <w:rsid w:val="1DD17CE5"/>
    <w:rsid w:val="21393C9F"/>
    <w:rsid w:val="216937C4"/>
    <w:rsid w:val="26563A0B"/>
    <w:rsid w:val="27545EB0"/>
    <w:rsid w:val="27EE3C0E"/>
    <w:rsid w:val="294A57BC"/>
    <w:rsid w:val="298605CB"/>
    <w:rsid w:val="2CDF7FCA"/>
    <w:rsid w:val="2CEF036C"/>
    <w:rsid w:val="2E5A5D01"/>
    <w:rsid w:val="308B0D67"/>
    <w:rsid w:val="32A31C4C"/>
    <w:rsid w:val="32B53CA7"/>
    <w:rsid w:val="33187A26"/>
    <w:rsid w:val="33CD2241"/>
    <w:rsid w:val="34967CFD"/>
    <w:rsid w:val="38CB08B0"/>
    <w:rsid w:val="398D572F"/>
    <w:rsid w:val="39C2416B"/>
    <w:rsid w:val="3B744E3E"/>
    <w:rsid w:val="3CA74B68"/>
    <w:rsid w:val="3DC91A1B"/>
    <w:rsid w:val="3F235BB1"/>
    <w:rsid w:val="3F663581"/>
    <w:rsid w:val="40D35584"/>
    <w:rsid w:val="41F8770C"/>
    <w:rsid w:val="42A44BF6"/>
    <w:rsid w:val="451153E3"/>
    <w:rsid w:val="4571549B"/>
    <w:rsid w:val="471274FD"/>
    <w:rsid w:val="49717ADD"/>
    <w:rsid w:val="4A51609B"/>
    <w:rsid w:val="4BC32B39"/>
    <w:rsid w:val="4C194D3B"/>
    <w:rsid w:val="4C3457E4"/>
    <w:rsid w:val="4D304C6C"/>
    <w:rsid w:val="4F2A6A41"/>
    <w:rsid w:val="500373A2"/>
    <w:rsid w:val="50A12196"/>
    <w:rsid w:val="528172AA"/>
    <w:rsid w:val="53034162"/>
    <w:rsid w:val="53AD746D"/>
    <w:rsid w:val="53C5766A"/>
    <w:rsid w:val="556A671B"/>
    <w:rsid w:val="561769D4"/>
    <w:rsid w:val="58D844B0"/>
    <w:rsid w:val="5A0D5BDC"/>
    <w:rsid w:val="5B396293"/>
    <w:rsid w:val="5F4A1A8C"/>
    <w:rsid w:val="60075621"/>
    <w:rsid w:val="602001C2"/>
    <w:rsid w:val="60CE32E1"/>
    <w:rsid w:val="639A3569"/>
    <w:rsid w:val="64C00985"/>
    <w:rsid w:val="65225D26"/>
    <w:rsid w:val="65DB5CBA"/>
    <w:rsid w:val="671C4F1D"/>
    <w:rsid w:val="674E6C15"/>
    <w:rsid w:val="67636EEB"/>
    <w:rsid w:val="687235E4"/>
    <w:rsid w:val="697609B2"/>
    <w:rsid w:val="69F4671F"/>
    <w:rsid w:val="6A470981"/>
    <w:rsid w:val="6CBF282C"/>
    <w:rsid w:val="6DBF2BA1"/>
    <w:rsid w:val="6EB34837"/>
    <w:rsid w:val="71551BD5"/>
    <w:rsid w:val="73335BEE"/>
    <w:rsid w:val="734B3BFA"/>
    <w:rsid w:val="73753308"/>
    <w:rsid w:val="761013D1"/>
    <w:rsid w:val="77CE32BD"/>
    <w:rsid w:val="78726082"/>
    <w:rsid w:val="79442C5B"/>
    <w:rsid w:val="79975481"/>
    <w:rsid w:val="7BB011B5"/>
    <w:rsid w:val="7BE02DD2"/>
    <w:rsid w:val="7BF872F1"/>
    <w:rsid w:val="7C2A2F43"/>
    <w:rsid w:val="7C7D282D"/>
    <w:rsid w:val="7EAD450C"/>
    <w:rsid w:val="7EFC4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font121"/>
    <w:basedOn w:val="8"/>
    <w:qFormat/>
    <w:uiPriority w:val="0"/>
    <w:rPr>
      <w:rFonts w:hint="eastAsia" w:ascii="宋体" w:hAnsi="宋体" w:eastAsia="宋体" w:cs="宋体"/>
      <w:color w:val="000000"/>
      <w:sz w:val="21"/>
      <w:szCs w:val="21"/>
      <w:u w:val="none"/>
    </w:rPr>
  </w:style>
  <w:style w:type="character" w:customStyle="1" w:styleId="10">
    <w:name w:val="font131"/>
    <w:basedOn w:val="8"/>
    <w:qFormat/>
    <w:uiPriority w:val="0"/>
    <w:rPr>
      <w:rFonts w:hint="eastAsia" w:ascii="宋体" w:hAnsi="宋体" w:eastAsia="宋体" w:cs="宋体"/>
      <w:color w:val="000000"/>
      <w:sz w:val="21"/>
      <w:szCs w:val="21"/>
      <w:u w:val="none"/>
    </w:rPr>
  </w:style>
  <w:style w:type="character" w:customStyle="1" w:styleId="11">
    <w:name w:val="font132"/>
    <w:basedOn w:val="8"/>
    <w:qFormat/>
    <w:uiPriority w:val="0"/>
    <w:rPr>
      <w:rFonts w:hint="eastAsia" w:ascii="宋体" w:hAnsi="宋体" w:eastAsia="宋体" w:cs="宋体"/>
      <w:color w:val="000000"/>
      <w:sz w:val="21"/>
      <w:szCs w:val="21"/>
      <w:u w:val="none"/>
    </w:rPr>
  </w:style>
  <w:style w:type="character" w:customStyle="1" w:styleId="12">
    <w:name w:val="font141"/>
    <w:basedOn w:val="8"/>
    <w:qFormat/>
    <w:uiPriority w:val="0"/>
    <w:rPr>
      <w:rFonts w:hint="eastAsia" w:ascii="宋体" w:hAnsi="宋体" w:eastAsia="宋体" w:cs="宋体"/>
      <w:color w:val="000000"/>
      <w:sz w:val="21"/>
      <w:szCs w:val="21"/>
      <w:u w:val="none"/>
    </w:rPr>
  </w:style>
  <w:style w:type="character" w:customStyle="1" w:styleId="13">
    <w:name w:val="font122"/>
    <w:basedOn w:val="8"/>
    <w:qFormat/>
    <w:uiPriority w:val="0"/>
    <w:rPr>
      <w:rFonts w:hint="eastAsia" w:ascii="宋体" w:hAnsi="宋体" w:eastAsia="宋体" w:cs="宋体"/>
      <w:color w:val="000000"/>
      <w:sz w:val="21"/>
      <w:szCs w:val="21"/>
      <w:u w:val="none"/>
    </w:rPr>
  </w:style>
  <w:style w:type="paragraph" w:customStyle="1" w:styleId="14">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4.svg"/><Relationship Id="rId24" Type="http://schemas.openxmlformats.org/officeDocument/2006/relationships/image" Target="media/image13.png"/><Relationship Id="rId23" Type="http://schemas.openxmlformats.org/officeDocument/2006/relationships/chart" Target="charts/chart3.xml"/><Relationship Id="rId22" Type="http://schemas.openxmlformats.org/officeDocument/2006/relationships/chart" Target="charts/chart2.xml"/><Relationship Id="rId21" Type="http://schemas.openxmlformats.org/officeDocument/2006/relationships/chart" Target="charts/chart1.xml"/><Relationship Id="rId20" Type="http://schemas.openxmlformats.org/officeDocument/2006/relationships/image" Target="media/image12.sv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收支决算总体对比</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2020年收支</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4"/>
              </c:numCache>
            </c:numRef>
          </c:cat>
          <c:val>
            <c:numRef>
              <c:f>Sheet1!$B$2:$B$5</c:f>
              <c:numCache>
                <c:formatCode>General</c:formatCode>
                <c:ptCount val="4"/>
                <c:pt idx="0">
                  <c:v>539.61</c:v>
                </c:pt>
              </c:numCache>
            </c:numRef>
          </c:val>
        </c:ser>
        <c:ser>
          <c:idx val="1"/>
          <c:order val="1"/>
          <c:tx>
            <c:strRef>
              <c:f>Sheet1!$C$1</c:f>
              <c:strCache>
                <c:ptCount val="1"/>
                <c:pt idx="0">
                  <c:v>2021年收支</c:v>
                </c:pt>
              </c:strCache>
            </c:strRef>
          </c:tx>
          <c:spPr>
            <a:solidFill>
              <a:schemeClr val="accent2"/>
            </a:solidFill>
            <a:ln>
              <a:noFill/>
            </a:ln>
            <a:effectLst/>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delete val="1"/>
            </c:dLbl>
            <c:dLbl>
              <c:idx val="2"/>
              <c:delete val="1"/>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4"/>
              </c:numCache>
            </c:numRef>
          </c:cat>
          <c:val>
            <c:numRef>
              <c:f>Sheet1!$C$2:$C$5</c:f>
              <c:numCache>
                <c:formatCode>General</c:formatCode>
                <c:ptCount val="4"/>
                <c:pt idx="0">
                  <c:v>488.31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numRef>
              <c:f>Sheet1!$A$2:$A$5</c:f>
              <c:numCache>
                <c:formatCode>General</c:formatCode>
                <c:ptCount val="4"/>
              </c:numCache>
            </c:numRef>
          </c:cat>
          <c:val>
            <c:numRef>
              <c:f>Sheet1!#REF!</c:f>
              <c:numCache>
                <c:formatCode>General</c:formatCode>
                <c:ptCount val="1"/>
                <c:pt idx="0">
                  <c:v>1</c:v>
                </c:pt>
              </c:numCache>
            </c:numRef>
          </c:val>
        </c:ser>
        <c:dLbls>
          <c:showLegendKey val="0"/>
          <c:showVal val="0"/>
          <c:showCatName val="0"/>
          <c:showSerName val="0"/>
          <c:showPercent val="0"/>
          <c:showBubbleSize val="0"/>
        </c:dLbls>
        <c:gapWidth val="219"/>
        <c:overlap val="-27"/>
        <c:axId val="137164931"/>
        <c:axId val="814649654"/>
      </c:barChart>
      <c:catAx>
        <c:axId val="13716493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14649654"/>
        <c:crosses val="autoZero"/>
        <c:auto val="1"/>
        <c:lblAlgn val="ctr"/>
        <c:lblOffset val="100"/>
        <c:noMultiLvlLbl val="0"/>
      </c:catAx>
      <c:valAx>
        <c:axId val="81464965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7164931"/>
        <c:crosses val="autoZero"/>
        <c:crossBetween val="between"/>
      </c:valAx>
      <c:spPr>
        <a:noFill/>
        <a:ln>
          <a:noFill/>
        </a:ln>
        <a:effectLst/>
      </c:spPr>
    </c:plotArea>
    <c:legend>
      <c:legendPos val="b"/>
      <c:legendEntry>
        <c:idx val="2"/>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财政拨款收支对比</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2020年财政拨款收支</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4"/>
              </c:numCache>
            </c:numRef>
          </c:cat>
          <c:val>
            <c:numRef>
              <c:f>Sheet1!$B$2:$B$5</c:f>
              <c:numCache>
                <c:formatCode>General</c:formatCode>
                <c:ptCount val="4"/>
                <c:pt idx="0">
                  <c:v>539.61</c:v>
                </c:pt>
              </c:numCache>
            </c:numRef>
          </c:val>
        </c:ser>
        <c:ser>
          <c:idx val="1"/>
          <c:order val="1"/>
          <c:tx>
            <c:strRef>
              <c:f>Sheet1!$C$1</c:f>
              <c:strCache>
                <c:ptCount val="1"/>
                <c:pt idx="0">
                  <c:v>2021年财政拨款收支</c:v>
                </c:pt>
              </c:strCache>
            </c:strRef>
          </c:tx>
          <c:spPr>
            <a:solidFill>
              <a:schemeClr val="accent2"/>
            </a:solidFill>
            <a:ln>
              <a:noFill/>
            </a:ln>
            <a:effectLst/>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delete val="1"/>
            </c:dLbl>
            <c:dLbl>
              <c:idx val="2"/>
              <c:delete val="1"/>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4"/>
              </c:numCache>
            </c:numRef>
          </c:cat>
          <c:val>
            <c:numRef>
              <c:f>Sheet1!$C$2:$C$5</c:f>
              <c:numCache>
                <c:formatCode>General</c:formatCode>
                <c:ptCount val="4"/>
                <c:pt idx="0">
                  <c:v>488.31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numRef>
              <c:f>Sheet1!$A$2:$A$5</c:f>
              <c:numCache>
                <c:formatCode>General</c:formatCode>
                <c:ptCount val="4"/>
              </c:numCache>
            </c:numRef>
          </c:cat>
          <c:val>
            <c:numRef>
              <c:f>Sheet1!#REF!</c:f>
              <c:numCache>
                <c:formatCode>General</c:formatCode>
                <c:ptCount val="1"/>
                <c:pt idx="0">
                  <c:v>1</c:v>
                </c:pt>
              </c:numCache>
            </c:numRef>
          </c:val>
        </c:ser>
        <c:dLbls>
          <c:showLegendKey val="0"/>
          <c:showVal val="0"/>
          <c:showCatName val="0"/>
          <c:showSerName val="0"/>
          <c:showPercent val="0"/>
          <c:showBubbleSize val="0"/>
        </c:dLbls>
        <c:gapWidth val="219"/>
        <c:overlap val="-27"/>
        <c:axId val="137164931"/>
        <c:axId val="814649654"/>
      </c:barChart>
      <c:catAx>
        <c:axId val="13716493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14649654"/>
        <c:crosses val="autoZero"/>
        <c:auto val="1"/>
        <c:lblAlgn val="ctr"/>
        <c:lblOffset val="100"/>
        <c:noMultiLvlLbl val="0"/>
      </c:catAx>
      <c:valAx>
        <c:axId val="81464965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7164931"/>
        <c:crosses val="autoZero"/>
        <c:crossBetween val="between"/>
      </c:valAx>
      <c:spPr>
        <a:noFill/>
        <a:ln>
          <a:noFill/>
        </a:ln>
        <a:effectLst/>
      </c:spPr>
    </c:plotArea>
    <c:legend>
      <c:legendPos val="b"/>
      <c:legendEntry>
        <c:idx val="2"/>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财政拨款收支与年初预算数对比</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2021年财政拨款年初预算数</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4"/>
              </c:numCache>
            </c:numRef>
          </c:cat>
          <c:val>
            <c:numRef>
              <c:f>Sheet1!$B$2:$B$5</c:f>
              <c:numCache>
                <c:formatCode>General</c:formatCode>
                <c:ptCount val="4"/>
                <c:pt idx="0">
                  <c:v>515.15</c:v>
                </c:pt>
              </c:numCache>
            </c:numRef>
          </c:val>
        </c:ser>
        <c:ser>
          <c:idx val="1"/>
          <c:order val="1"/>
          <c:tx>
            <c:strRef>
              <c:f>Sheet1!$C$1</c:f>
              <c:strCache>
                <c:ptCount val="1"/>
                <c:pt idx="0">
                  <c:v>2021年财政拨款收支</c:v>
                </c:pt>
              </c:strCache>
            </c:strRef>
          </c:tx>
          <c:spPr>
            <a:solidFill>
              <a:schemeClr val="accent2"/>
            </a:solidFill>
            <a:ln>
              <a:noFill/>
            </a:ln>
            <a:effectLst/>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delete val="1"/>
            </c:dLbl>
            <c:dLbl>
              <c:idx val="2"/>
              <c:delete val="1"/>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4"/>
              </c:numCache>
            </c:numRef>
          </c:cat>
          <c:val>
            <c:numRef>
              <c:f>Sheet1!$C$2:$C$5</c:f>
              <c:numCache>
                <c:formatCode>General</c:formatCode>
                <c:ptCount val="4"/>
                <c:pt idx="0">
                  <c:v>488.31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numRef>
              <c:f>Sheet1!$A$2:$A$5</c:f>
              <c:numCache>
                <c:formatCode>General</c:formatCode>
                <c:ptCount val="4"/>
              </c:numCache>
            </c:numRef>
          </c:cat>
          <c:val>
            <c:numRef>
              <c:f>Sheet1!#REF!</c:f>
              <c:numCache>
                <c:formatCode>General</c:formatCode>
                <c:ptCount val="1"/>
                <c:pt idx="0">
                  <c:v>1</c:v>
                </c:pt>
              </c:numCache>
            </c:numRef>
          </c:val>
        </c:ser>
        <c:dLbls>
          <c:showLegendKey val="0"/>
          <c:showVal val="0"/>
          <c:showCatName val="0"/>
          <c:showSerName val="0"/>
          <c:showPercent val="0"/>
          <c:showBubbleSize val="0"/>
        </c:dLbls>
        <c:gapWidth val="219"/>
        <c:overlap val="-27"/>
        <c:axId val="137164931"/>
        <c:axId val="814649654"/>
      </c:barChart>
      <c:catAx>
        <c:axId val="13716493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14649654"/>
        <c:crosses val="autoZero"/>
        <c:auto val="1"/>
        <c:lblAlgn val="ctr"/>
        <c:lblOffset val="100"/>
        <c:noMultiLvlLbl val="0"/>
      </c:catAx>
      <c:valAx>
        <c:axId val="81464965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7164931"/>
        <c:crosses val="autoZero"/>
        <c:crossBetween val="between"/>
      </c:valAx>
      <c:spPr>
        <a:noFill/>
        <a:ln>
          <a:noFill/>
        </a:ln>
        <a:effectLst/>
      </c:spPr>
    </c:plotArea>
    <c:legend>
      <c:legendPos val="b"/>
      <c:legendEntry>
        <c:idx val="2"/>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444444"/>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28</Pages>
  <Words>9028</Words>
  <Characters>9915</Characters>
  <Lines>82</Lines>
  <Paragraphs>23</Paragraphs>
  <TotalTime>4</TotalTime>
  <ScaleCrop>false</ScaleCrop>
  <LinksUpToDate>false</LinksUpToDate>
  <CharactersWithSpaces>9966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吴建龙</cp:lastModifiedBy>
  <dcterms:modified xsi:type="dcterms:W3CDTF">2022-10-27T00:44:34Z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KSOTemplateUUID">
    <vt:lpwstr>v1.0_mb_S7ajbG3IpAnL1wSthNCxfw==</vt:lpwstr>
  </property>
  <property fmtid="{D5CDD505-2E9C-101B-9397-08002B2CF9AE}" pid="4" name="ICV">
    <vt:lpwstr>1515CEFC20754C3380B382230295B456</vt:lpwstr>
  </property>
</Properties>
</file>